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250"/>
        <w:gridCol w:w="781"/>
        <w:gridCol w:w="416"/>
        <w:gridCol w:w="957"/>
        <w:gridCol w:w="5887"/>
      </w:tblGrid>
      <w:tr w:rsidR="00AE74B6" w:rsidTr="00736EC7">
        <w:trPr>
          <w:trHeight w:val="170"/>
          <w:jc w:val="center"/>
        </w:trPr>
        <w:tc>
          <w:tcPr>
            <w:tcW w:w="151"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eastAsiaTheme="minorEastAsia" w:hAnsi="宋体" w:cs="宋体"/>
                <w:color w:val="000000" w:themeColor="text1"/>
                <w:szCs w:val="21"/>
              </w:rPr>
            </w:pPr>
            <w:r>
              <w:rPr>
                <w:rFonts w:ascii="宋体" w:hAnsi="宋体" w:cs="宋体" w:hint="eastAsia"/>
                <w:color w:val="000000" w:themeColor="text1"/>
                <w:kern w:val="0"/>
                <w:szCs w:val="21"/>
              </w:rPr>
              <w:t>序号</w:t>
            </w:r>
          </w:p>
        </w:tc>
        <w:tc>
          <w:tcPr>
            <w:tcW w:w="471" w:type="pct"/>
            <w:tcBorders>
              <w:top w:val="single" w:sz="8" w:space="0" w:color="000000"/>
              <w:left w:val="single" w:sz="4" w:space="0" w:color="auto"/>
              <w:bottom w:val="single" w:sz="8" w:space="0" w:color="000000"/>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评分</w:t>
            </w:r>
          </w:p>
          <w:p w:rsidR="00AE74B6" w:rsidRDefault="00AE74B6" w:rsidP="00736EC7">
            <w:pPr>
              <w:widowControl/>
              <w:spacing w:line="360" w:lineRule="atLeast"/>
              <w:jc w:val="center"/>
              <w:textAlignment w:val="center"/>
              <w:rPr>
                <w:rFonts w:ascii="宋体" w:hAnsi="宋体" w:cs="宋体"/>
                <w:color w:val="000000" w:themeColor="text1"/>
                <w:szCs w:val="21"/>
              </w:rPr>
            </w:pPr>
            <w:r>
              <w:rPr>
                <w:rFonts w:ascii="宋体" w:hAnsi="宋体" w:cs="宋体" w:hint="eastAsia"/>
                <w:color w:val="000000" w:themeColor="text1"/>
                <w:kern w:val="0"/>
                <w:szCs w:val="21"/>
              </w:rPr>
              <w:t>指标</w:t>
            </w:r>
          </w:p>
        </w:tc>
        <w:tc>
          <w:tcPr>
            <w:tcW w:w="251" w:type="pct"/>
            <w:tcBorders>
              <w:top w:val="single" w:sz="8" w:space="0" w:color="000000"/>
              <w:left w:val="nil"/>
              <w:bottom w:val="single" w:sz="8" w:space="0" w:color="000000"/>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rPr>
              <w:t>分值</w:t>
            </w:r>
          </w:p>
        </w:tc>
        <w:tc>
          <w:tcPr>
            <w:tcW w:w="4128" w:type="pct"/>
            <w:gridSpan w:val="2"/>
            <w:tcBorders>
              <w:top w:val="single" w:sz="8" w:space="0" w:color="000000"/>
              <w:left w:val="nil"/>
              <w:bottom w:val="single" w:sz="8" w:space="0" w:color="000000"/>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color w:val="000000" w:themeColor="text1"/>
                <w:szCs w:val="21"/>
              </w:rPr>
            </w:pPr>
            <w:r>
              <w:rPr>
                <w:rFonts w:ascii="宋体" w:hAnsi="宋体" w:cs="宋体" w:hint="eastAsia"/>
                <w:color w:val="000000" w:themeColor="text1"/>
                <w:kern w:val="0"/>
                <w:szCs w:val="21"/>
              </w:rPr>
              <w:t>评分标准</w:t>
            </w:r>
          </w:p>
        </w:tc>
      </w:tr>
      <w:tr w:rsidR="00AE74B6" w:rsidTr="00736EC7">
        <w:trPr>
          <w:trHeight w:val="170"/>
          <w:jc w:val="center"/>
        </w:trPr>
        <w:tc>
          <w:tcPr>
            <w:tcW w:w="151"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color w:val="000000" w:themeColor="text1"/>
                <w:szCs w:val="21"/>
              </w:rPr>
            </w:pPr>
            <w:r>
              <w:rPr>
                <w:rFonts w:ascii="宋体" w:hAnsi="宋体" w:cs="宋体" w:hint="eastAsia"/>
                <w:color w:val="000000" w:themeColor="text1"/>
                <w:kern w:val="0"/>
                <w:szCs w:val="21"/>
              </w:rPr>
              <w:t>1</w:t>
            </w:r>
          </w:p>
        </w:tc>
        <w:tc>
          <w:tcPr>
            <w:tcW w:w="471" w:type="pct"/>
            <w:tcBorders>
              <w:top w:val="nil"/>
              <w:left w:val="single" w:sz="4" w:space="0" w:color="auto"/>
              <w:bottom w:val="single" w:sz="8" w:space="0" w:color="000000"/>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价格</w:t>
            </w:r>
          </w:p>
          <w:p w:rsidR="00AE74B6" w:rsidRDefault="00AE74B6" w:rsidP="00736EC7">
            <w:pPr>
              <w:widowControl/>
              <w:spacing w:line="360" w:lineRule="atLeast"/>
              <w:jc w:val="center"/>
              <w:textAlignment w:val="center"/>
              <w:rPr>
                <w:rFonts w:ascii="宋体" w:hAnsi="宋体" w:cs="宋体"/>
                <w:color w:val="000000" w:themeColor="text1"/>
                <w:szCs w:val="21"/>
              </w:rPr>
            </w:pPr>
            <w:r>
              <w:rPr>
                <w:rFonts w:ascii="宋体" w:hAnsi="宋体" w:cs="宋体" w:hint="eastAsia"/>
                <w:color w:val="000000" w:themeColor="text1"/>
                <w:kern w:val="0"/>
                <w:szCs w:val="21"/>
              </w:rPr>
              <w:t>部分</w:t>
            </w:r>
          </w:p>
        </w:tc>
        <w:tc>
          <w:tcPr>
            <w:tcW w:w="251" w:type="pct"/>
            <w:tcBorders>
              <w:top w:val="nil"/>
              <w:left w:val="nil"/>
              <w:bottom w:val="single" w:sz="8" w:space="0" w:color="000000"/>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b/>
                <w:bCs/>
                <w:color w:val="000000" w:themeColor="text1"/>
                <w:szCs w:val="21"/>
              </w:rPr>
            </w:pPr>
            <w:r>
              <w:rPr>
                <w:rFonts w:ascii="宋体" w:hAnsi="宋体" w:cs="宋体" w:hint="eastAsia"/>
                <w:b/>
                <w:bCs/>
                <w:color w:val="000000" w:themeColor="text1"/>
                <w:kern w:val="0"/>
                <w:szCs w:val="21"/>
              </w:rPr>
              <w:t>30</w:t>
            </w:r>
          </w:p>
        </w:tc>
        <w:tc>
          <w:tcPr>
            <w:tcW w:w="4128" w:type="pct"/>
            <w:gridSpan w:val="2"/>
            <w:tcBorders>
              <w:top w:val="nil"/>
              <w:left w:val="nil"/>
              <w:bottom w:val="single" w:sz="8" w:space="0" w:color="000000"/>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textAlignment w:val="center"/>
              <w:rPr>
                <w:rFonts w:ascii="宋体" w:hAnsi="宋体" w:cs="宋体"/>
                <w:color w:val="000000" w:themeColor="text1"/>
                <w:szCs w:val="21"/>
              </w:rPr>
            </w:pPr>
            <w:r>
              <w:rPr>
                <w:rStyle w:val="font31"/>
                <w:rFonts w:hint="default"/>
                <w:color w:val="000000" w:themeColor="text1"/>
              </w:rPr>
              <w:t>价格分采用低价优先法计算，即满足招标文件要求且投标价格最低的投标报价为评标基准价，其价格分为满分。其他投标人的价格</w:t>
            </w:r>
            <w:proofErr w:type="gramStart"/>
            <w:r>
              <w:rPr>
                <w:rStyle w:val="font31"/>
                <w:rFonts w:hint="default"/>
                <w:color w:val="000000" w:themeColor="text1"/>
              </w:rPr>
              <w:t>分统一</w:t>
            </w:r>
            <w:proofErr w:type="gramEnd"/>
            <w:r>
              <w:rPr>
                <w:rStyle w:val="font31"/>
                <w:rFonts w:hint="default"/>
                <w:color w:val="000000" w:themeColor="text1"/>
              </w:rPr>
              <w:t>按照下列公式计算（计算结果四舍五入保留两位小数）：投标报价得分=（评标基准价/投标报价）*30</w:t>
            </w:r>
          </w:p>
        </w:tc>
      </w:tr>
      <w:tr w:rsidR="00AE74B6" w:rsidTr="00736EC7">
        <w:trPr>
          <w:trHeight w:val="170"/>
          <w:jc w:val="center"/>
        </w:trPr>
        <w:tc>
          <w:tcPr>
            <w:tcW w:w="151" w:type="pct"/>
            <w:vMerge w:val="restar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w:t>
            </w:r>
          </w:p>
          <w:p w:rsidR="00AE74B6" w:rsidRDefault="00AE74B6" w:rsidP="00736EC7">
            <w:pPr>
              <w:widowControl/>
              <w:spacing w:line="360" w:lineRule="atLeast"/>
              <w:jc w:val="center"/>
              <w:textAlignment w:val="center"/>
              <w:rPr>
                <w:rFonts w:ascii="宋体" w:hAnsi="宋体" w:cs="宋体"/>
                <w:color w:val="000000" w:themeColor="text1"/>
                <w:kern w:val="0"/>
                <w:szCs w:val="21"/>
              </w:rPr>
            </w:pPr>
          </w:p>
          <w:p w:rsidR="00AE74B6" w:rsidRDefault="00AE74B6" w:rsidP="00736EC7">
            <w:pPr>
              <w:widowControl/>
              <w:spacing w:line="360" w:lineRule="atLeast"/>
              <w:jc w:val="center"/>
              <w:textAlignment w:val="center"/>
              <w:rPr>
                <w:rFonts w:ascii="宋体" w:hAnsi="宋体" w:cs="宋体"/>
                <w:color w:val="000000" w:themeColor="text1"/>
                <w:szCs w:val="21"/>
              </w:rPr>
            </w:pPr>
          </w:p>
        </w:tc>
        <w:tc>
          <w:tcPr>
            <w:tcW w:w="471" w:type="pct"/>
            <w:vMerge w:val="restart"/>
            <w:tcBorders>
              <w:top w:val="nil"/>
              <w:left w:val="single" w:sz="4" w:space="0" w:color="auto"/>
              <w:bottom w:val="single" w:sz="4" w:space="0" w:color="auto"/>
              <w:right w:val="single" w:sz="8" w:space="0" w:color="000000"/>
            </w:tcBorders>
            <w:tcMar>
              <w:top w:w="8" w:type="dxa"/>
              <w:left w:w="8" w:type="dxa"/>
              <w:bottom w:w="0" w:type="dxa"/>
              <w:right w:w="8" w:type="dxa"/>
            </w:tcMar>
            <w:vAlign w:val="center"/>
          </w:tcPr>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技术</w:t>
            </w:r>
          </w:p>
          <w:p w:rsidR="00AE74B6" w:rsidRDefault="00AE74B6" w:rsidP="00736EC7">
            <w:pPr>
              <w:widowControl/>
              <w:spacing w:line="360" w:lineRule="atLeast"/>
              <w:jc w:val="center"/>
              <w:textAlignment w:val="center"/>
              <w:rPr>
                <w:rFonts w:ascii="宋体" w:hAnsi="宋体" w:cs="宋体"/>
                <w:color w:val="000000" w:themeColor="text1"/>
                <w:szCs w:val="21"/>
              </w:rPr>
            </w:pPr>
            <w:r>
              <w:rPr>
                <w:rFonts w:ascii="宋体" w:hAnsi="宋体" w:cs="宋体" w:hint="eastAsia"/>
                <w:color w:val="000000" w:themeColor="text1"/>
                <w:szCs w:val="21"/>
              </w:rPr>
              <w:t>部分</w:t>
            </w:r>
          </w:p>
          <w:p w:rsidR="00AE74B6" w:rsidRDefault="00AE74B6" w:rsidP="00736EC7">
            <w:pPr>
              <w:widowControl/>
              <w:spacing w:line="360" w:lineRule="atLeast"/>
              <w:jc w:val="center"/>
              <w:textAlignment w:val="center"/>
              <w:rPr>
                <w:rFonts w:ascii="宋体" w:hAnsi="宋体" w:cs="宋体"/>
                <w:color w:val="000000" w:themeColor="text1"/>
                <w:kern w:val="0"/>
                <w:szCs w:val="21"/>
              </w:rPr>
            </w:pPr>
          </w:p>
          <w:p w:rsidR="00AE74B6" w:rsidRDefault="00AE74B6" w:rsidP="00736EC7">
            <w:pPr>
              <w:widowControl/>
              <w:spacing w:line="360" w:lineRule="atLeast"/>
              <w:jc w:val="center"/>
              <w:textAlignment w:val="center"/>
              <w:rPr>
                <w:rFonts w:ascii="宋体" w:hAnsi="宋体" w:cs="宋体"/>
                <w:color w:val="000000" w:themeColor="text1"/>
                <w:kern w:val="0"/>
                <w:szCs w:val="21"/>
              </w:rPr>
            </w:pPr>
          </w:p>
        </w:tc>
        <w:tc>
          <w:tcPr>
            <w:tcW w:w="251" w:type="pct"/>
            <w:vMerge w:val="restart"/>
            <w:tcBorders>
              <w:top w:val="nil"/>
              <w:left w:val="nil"/>
              <w:bottom w:val="single" w:sz="4" w:space="0" w:color="auto"/>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b/>
                <w:bCs/>
                <w:color w:val="000000" w:themeColor="text1"/>
                <w:szCs w:val="21"/>
              </w:rPr>
            </w:pPr>
            <w:r>
              <w:rPr>
                <w:rFonts w:ascii="宋体" w:hAnsi="宋体" w:cs="宋体" w:hint="eastAsia"/>
                <w:b/>
                <w:bCs/>
                <w:color w:val="000000" w:themeColor="text1"/>
                <w:szCs w:val="21"/>
              </w:rPr>
              <w:t>40</w:t>
            </w:r>
          </w:p>
        </w:tc>
        <w:tc>
          <w:tcPr>
            <w:tcW w:w="577" w:type="pct"/>
            <w:tcBorders>
              <w:top w:val="nil"/>
              <w:left w:val="nil"/>
              <w:bottom w:val="single" w:sz="8" w:space="0" w:color="000000"/>
              <w:right w:val="single" w:sz="4" w:space="0" w:color="auto"/>
            </w:tcBorders>
            <w:tcMar>
              <w:top w:w="8" w:type="dxa"/>
              <w:left w:w="8" w:type="dxa"/>
              <w:bottom w:w="0" w:type="dxa"/>
              <w:right w:w="8" w:type="dxa"/>
            </w:tcMar>
            <w:vAlign w:val="center"/>
            <w:hideMark/>
          </w:tcPr>
          <w:p w:rsidR="00AE74B6" w:rsidRDefault="00AE74B6" w:rsidP="00736EC7">
            <w:pPr>
              <w:spacing w:line="360" w:lineRule="atLeast"/>
              <w:jc w:val="center"/>
              <w:rPr>
                <w:rFonts w:asciiTheme="minorHAnsi" w:hAnsiTheme="minorHAnsi" w:cstheme="minorBidi"/>
                <w:szCs w:val="24"/>
              </w:rPr>
            </w:pPr>
            <w:r>
              <w:rPr>
                <w:rFonts w:hint="eastAsia"/>
              </w:rPr>
              <w:t>技术</w:t>
            </w:r>
          </w:p>
          <w:p w:rsidR="00AE74B6" w:rsidRDefault="00AE74B6" w:rsidP="00736EC7">
            <w:pPr>
              <w:spacing w:line="360" w:lineRule="atLeast"/>
              <w:jc w:val="center"/>
            </w:pPr>
            <w:r>
              <w:rPr>
                <w:rFonts w:hint="eastAsia"/>
              </w:rPr>
              <w:t>性能</w:t>
            </w:r>
          </w:p>
          <w:p w:rsidR="00AE74B6" w:rsidRDefault="00AE74B6" w:rsidP="00736EC7">
            <w:pPr>
              <w:spacing w:line="360" w:lineRule="atLeast"/>
              <w:jc w:val="center"/>
            </w:pPr>
            <w:r>
              <w:rPr>
                <w:rFonts w:hint="eastAsia"/>
              </w:rPr>
              <w:t>（</w:t>
            </w:r>
            <w:r>
              <w:t>15</w:t>
            </w:r>
            <w:r>
              <w:rPr>
                <w:rFonts w:hint="eastAsia"/>
              </w:rPr>
              <w:t>分）</w:t>
            </w:r>
          </w:p>
        </w:tc>
        <w:tc>
          <w:tcPr>
            <w:tcW w:w="3551" w:type="pct"/>
            <w:tcBorders>
              <w:top w:val="nil"/>
              <w:left w:val="single" w:sz="4" w:space="0" w:color="auto"/>
              <w:bottom w:val="single" w:sz="8" w:space="0" w:color="000000"/>
              <w:right w:val="single" w:sz="8" w:space="0" w:color="000000"/>
            </w:tcBorders>
            <w:tcMar>
              <w:top w:w="8" w:type="dxa"/>
              <w:left w:w="8" w:type="dxa"/>
              <w:bottom w:w="0" w:type="dxa"/>
              <w:right w:w="8" w:type="dxa"/>
            </w:tcMar>
            <w:vAlign w:val="center"/>
          </w:tcPr>
          <w:p w:rsidR="00AE74B6" w:rsidRDefault="00AE74B6" w:rsidP="00736EC7">
            <w:pPr>
              <w:spacing w:line="360" w:lineRule="atLeast"/>
            </w:pPr>
          </w:p>
          <w:p w:rsidR="00AE74B6" w:rsidRDefault="00AE74B6" w:rsidP="00736EC7">
            <w:pPr>
              <w:spacing w:line="360" w:lineRule="atLeast"/>
            </w:pPr>
            <w:r>
              <w:rPr>
                <w:rFonts w:hint="eastAsia"/>
              </w:rPr>
              <w:t>根据各投标单位所投设备技术性能以及对招标文件各项基本要求的逐项响应承诺等方面情况由评委进行打分。技术要求所有性能指标，若有一项负偏离或不满足扣</w:t>
            </w:r>
            <w:r>
              <w:t>1</w:t>
            </w:r>
            <w:r>
              <w:rPr>
                <w:rFonts w:hint="eastAsia"/>
              </w:rPr>
              <w:t>分。满分</w:t>
            </w:r>
            <w:r>
              <w:t>15</w:t>
            </w:r>
            <w:r>
              <w:rPr>
                <w:rFonts w:hint="eastAsia"/>
              </w:rPr>
              <w:t>分，扣完为止。</w:t>
            </w:r>
          </w:p>
          <w:p w:rsidR="00AE74B6" w:rsidRDefault="00AE74B6" w:rsidP="00736EC7">
            <w:pPr>
              <w:spacing w:line="360" w:lineRule="atLeast"/>
            </w:pPr>
          </w:p>
        </w:tc>
      </w:tr>
      <w:tr w:rsidR="00AE74B6" w:rsidTr="00736EC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szCs w:val="21"/>
              </w:rPr>
            </w:pPr>
          </w:p>
        </w:tc>
        <w:tc>
          <w:tcPr>
            <w:tcW w:w="0" w:type="auto"/>
            <w:vMerge/>
            <w:tcBorders>
              <w:top w:val="nil"/>
              <w:left w:val="single" w:sz="4" w:space="0" w:color="auto"/>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nil"/>
              <w:left w:val="nil"/>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b/>
                <w:bCs/>
                <w:color w:val="000000" w:themeColor="text1"/>
                <w:szCs w:val="21"/>
              </w:rPr>
            </w:pPr>
          </w:p>
        </w:tc>
        <w:tc>
          <w:tcPr>
            <w:tcW w:w="577" w:type="pct"/>
            <w:tcBorders>
              <w:top w:val="nil"/>
              <w:left w:val="nil"/>
              <w:bottom w:val="single" w:sz="8" w:space="0" w:color="000000"/>
              <w:right w:val="single" w:sz="4" w:space="0" w:color="auto"/>
            </w:tcBorders>
            <w:tcMar>
              <w:top w:w="8" w:type="dxa"/>
              <w:left w:w="8" w:type="dxa"/>
              <w:bottom w:w="0" w:type="dxa"/>
              <w:right w:w="8" w:type="dxa"/>
            </w:tcMar>
            <w:vAlign w:val="center"/>
            <w:hideMark/>
          </w:tcPr>
          <w:p w:rsidR="00AE74B6" w:rsidRDefault="00AE74B6" w:rsidP="00736EC7">
            <w:pPr>
              <w:spacing w:line="360" w:lineRule="atLeast"/>
              <w:jc w:val="center"/>
              <w:rPr>
                <w:color w:val="000000" w:themeColor="text1"/>
              </w:rPr>
            </w:pPr>
            <w:r>
              <w:rPr>
                <w:rFonts w:hint="eastAsia"/>
                <w:color w:val="000000" w:themeColor="text1"/>
              </w:rPr>
              <w:t>技术</w:t>
            </w:r>
          </w:p>
          <w:p w:rsidR="00AE74B6" w:rsidRDefault="00AE74B6" w:rsidP="00736EC7">
            <w:pPr>
              <w:spacing w:line="360" w:lineRule="atLeast"/>
              <w:jc w:val="center"/>
              <w:rPr>
                <w:color w:val="000000" w:themeColor="text1"/>
              </w:rPr>
            </w:pPr>
            <w:r>
              <w:rPr>
                <w:rFonts w:hint="eastAsia"/>
                <w:color w:val="000000" w:themeColor="text1"/>
              </w:rPr>
              <w:t>方案</w:t>
            </w:r>
          </w:p>
          <w:p w:rsidR="00AE74B6" w:rsidRDefault="00AE74B6" w:rsidP="00736EC7">
            <w:pPr>
              <w:spacing w:line="360" w:lineRule="atLeast"/>
              <w:jc w:val="center"/>
              <w:rPr>
                <w:color w:val="000000" w:themeColor="text1"/>
              </w:rPr>
            </w:pPr>
            <w:r>
              <w:rPr>
                <w:rFonts w:hint="eastAsia"/>
                <w:color w:val="000000" w:themeColor="text1"/>
              </w:rPr>
              <w:t>（</w:t>
            </w:r>
            <w:r>
              <w:rPr>
                <w:color w:val="000000" w:themeColor="text1"/>
              </w:rPr>
              <w:t>10</w:t>
            </w:r>
            <w:r>
              <w:rPr>
                <w:rFonts w:hint="eastAsia"/>
                <w:color w:val="000000" w:themeColor="text1"/>
              </w:rPr>
              <w:t>分）</w:t>
            </w:r>
          </w:p>
        </w:tc>
        <w:tc>
          <w:tcPr>
            <w:tcW w:w="3551" w:type="pct"/>
            <w:tcBorders>
              <w:top w:val="nil"/>
              <w:left w:val="single" w:sz="4" w:space="0" w:color="auto"/>
              <w:bottom w:val="single" w:sz="8" w:space="0" w:color="000000"/>
              <w:right w:val="single" w:sz="8" w:space="0" w:color="000000"/>
            </w:tcBorders>
            <w:tcMar>
              <w:top w:w="8" w:type="dxa"/>
              <w:left w:w="8" w:type="dxa"/>
              <w:bottom w:w="0" w:type="dxa"/>
              <w:right w:w="8" w:type="dxa"/>
            </w:tcMar>
            <w:vAlign w:val="center"/>
          </w:tcPr>
          <w:p w:rsidR="00AE74B6" w:rsidRDefault="00AE74B6" w:rsidP="00736EC7">
            <w:pPr>
              <w:numPr>
                <w:ilvl w:val="0"/>
                <w:numId w:val="13"/>
              </w:numPr>
              <w:snapToGrid w:val="0"/>
              <w:spacing w:line="360" w:lineRule="atLeast"/>
              <w:jc w:val="left"/>
              <w:rPr>
                <w:rFonts w:asciiTheme="majorEastAsia" w:eastAsiaTheme="majorEastAsia" w:hAnsiTheme="majorEastAsia"/>
                <w:color w:val="000000" w:themeColor="text1"/>
                <w:szCs w:val="21"/>
              </w:rPr>
            </w:pPr>
            <w:r>
              <w:rPr>
                <w:rFonts w:hint="eastAsia"/>
                <w:color w:val="000000" w:themeColor="text1"/>
              </w:rPr>
              <w:t>投标人应详细了解现状，对招标</w:t>
            </w:r>
            <w:proofErr w:type="gramStart"/>
            <w:r>
              <w:rPr>
                <w:rFonts w:hint="eastAsia"/>
                <w:color w:val="000000" w:themeColor="text1"/>
              </w:rPr>
              <w:t>方现有</w:t>
            </w:r>
            <w:proofErr w:type="gramEnd"/>
            <w:r>
              <w:rPr>
                <w:rFonts w:hint="eastAsia"/>
                <w:color w:val="000000" w:themeColor="text1"/>
              </w:rPr>
              <w:t>场地、设备情况有详细的认识，投标时需对现有场地进行初步规划，技术方案中提供场地规划布局图，根据提供的规划布局图优良程度综合打分，场地规划</w:t>
            </w:r>
            <w:r>
              <w:rPr>
                <w:rFonts w:asciiTheme="majorEastAsia" w:eastAsiaTheme="majorEastAsia" w:hAnsiTheme="majorEastAsia" w:hint="eastAsia"/>
                <w:color w:val="000000" w:themeColor="text1"/>
                <w:szCs w:val="21"/>
              </w:rPr>
              <w:t>区域划分齐全、</w:t>
            </w:r>
            <w:r>
              <w:rPr>
                <w:rFonts w:hint="eastAsia"/>
                <w:color w:val="000000" w:themeColor="text1"/>
              </w:rPr>
              <w:t>合理、</w:t>
            </w:r>
            <w:r>
              <w:rPr>
                <w:rFonts w:asciiTheme="majorEastAsia" w:eastAsiaTheme="majorEastAsia" w:hAnsiTheme="majorEastAsia" w:hint="eastAsia"/>
                <w:color w:val="000000" w:themeColor="text1"/>
                <w:szCs w:val="21"/>
              </w:rPr>
              <w:t>贴合本项目实际情况为优，得3分；</w:t>
            </w:r>
            <w:r>
              <w:rPr>
                <w:rFonts w:hint="eastAsia"/>
                <w:color w:val="000000" w:themeColor="text1"/>
              </w:rPr>
              <w:t>场地规划</w:t>
            </w:r>
            <w:r>
              <w:rPr>
                <w:rFonts w:asciiTheme="majorEastAsia" w:eastAsiaTheme="majorEastAsia" w:hAnsiTheme="majorEastAsia" w:hint="eastAsia"/>
                <w:color w:val="000000" w:themeColor="text1"/>
                <w:szCs w:val="21"/>
              </w:rPr>
              <w:t>区域</w:t>
            </w:r>
            <w:proofErr w:type="gramStart"/>
            <w:r>
              <w:rPr>
                <w:rFonts w:asciiTheme="majorEastAsia" w:eastAsiaTheme="majorEastAsia" w:hAnsiTheme="majorEastAsia" w:hint="eastAsia"/>
                <w:color w:val="000000" w:themeColor="text1"/>
                <w:szCs w:val="21"/>
              </w:rPr>
              <w:t>划分较</w:t>
            </w:r>
            <w:proofErr w:type="gramEnd"/>
            <w:r>
              <w:rPr>
                <w:rFonts w:asciiTheme="majorEastAsia" w:eastAsiaTheme="majorEastAsia" w:hAnsiTheme="majorEastAsia" w:hint="eastAsia"/>
                <w:color w:val="000000" w:themeColor="text1"/>
                <w:szCs w:val="21"/>
              </w:rPr>
              <w:t>齐全、较合理为良，得2分；</w:t>
            </w:r>
            <w:r>
              <w:rPr>
                <w:rFonts w:hint="eastAsia"/>
                <w:color w:val="000000" w:themeColor="text1"/>
              </w:rPr>
              <w:t>场地规划</w:t>
            </w:r>
            <w:r>
              <w:rPr>
                <w:rFonts w:asciiTheme="majorEastAsia" w:eastAsiaTheme="majorEastAsia" w:hAnsiTheme="majorEastAsia" w:hint="eastAsia"/>
                <w:color w:val="000000" w:themeColor="text1"/>
                <w:szCs w:val="21"/>
              </w:rPr>
              <w:t>区域划分不合理为一般，得1分。未提供</w:t>
            </w:r>
            <w:r>
              <w:rPr>
                <w:rFonts w:hint="eastAsia"/>
                <w:color w:val="000000" w:themeColor="text1"/>
              </w:rPr>
              <w:t>场地规划布局图</w:t>
            </w:r>
            <w:r>
              <w:rPr>
                <w:rFonts w:asciiTheme="majorEastAsia" w:eastAsiaTheme="majorEastAsia" w:hAnsiTheme="majorEastAsia" w:hint="eastAsia"/>
                <w:color w:val="000000" w:themeColor="text1"/>
                <w:szCs w:val="21"/>
              </w:rPr>
              <w:t>不得分。</w:t>
            </w:r>
          </w:p>
          <w:p w:rsidR="00AE74B6" w:rsidRDefault="00AE74B6" w:rsidP="00736EC7">
            <w:pPr>
              <w:snapToGrid w:val="0"/>
              <w:spacing w:line="360" w:lineRule="atLeast"/>
              <w:jc w:val="left"/>
              <w:rPr>
                <w:rFonts w:asciiTheme="majorEastAsia" w:eastAsiaTheme="majorEastAsia" w:hAnsiTheme="majorEastAsia"/>
                <w:color w:val="000000" w:themeColor="text1"/>
                <w:szCs w:val="21"/>
              </w:rPr>
            </w:pPr>
          </w:p>
          <w:p w:rsidR="00AE74B6" w:rsidRDefault="00AE74B6" w:rsidP="00736EC7">
            <w:pPr>
              <w:numPr>
                <w:ilvl w:val="0"/>
                <w:numId w:val="13"/>
              </w:numPr>
              <w:spacing w:line="360" w:lineRule="atLeast"/>
              <w:rPr>
                <w:rFonts w:asciiTheme="majorEastAsia" w:eastAsiaTheme="majorEastAsia" w:hAnsiTheme="majorEastAsia"/>
                <w:color w:val="000000" w:themeColor="text1"/>
                <w:spacing w:val="2"/>
                <w:szCs w:val="21"/>
              </w:rPr>
            </w:pPr>
            <w:r>
              <w:rPr>
                <w:rFonts w:hint="eastAsia"/>
              </w:rPr>
              <w:t>技术方案需包含</w:t>
            </w:r>
            <w:r>
              <w:rPr>
                <w:rFonts w:asciiTheme="majorEastAsia" w:eastAsiaTheme="majorEastAsia" w:hAnsiTheme="majorEastAsia" w:hint="eastAsia"/>
                <w:color w:val="000000" w:themeColor="text1"/>
                <w:spacing w:val="2"/>
                <w:szCs w:val="21"/>
              </w:rPr>
              <w:t>产品设计和定位、产品功能、对应的教学及实训工作开展的支撑等。评审专家根据技术方案的优良程度进行评分，技术方案覆盖全面，能融入1+X相关证书要求，能较好开展教学和实训支撑的，得优7-5分；技术方案有一定局限，不能完全融入1+X相关证书要求，能开展教学和实训支撑的，得良4-2分、技术方案一般，不能融入1+X相关证书要求，较弱开展教学和实训支撑的，得差1-0分。</w:t>
            </w:r>
          </w:p>
          <w:p w:rsidR="00AE74B6" w:rsidRDefault="00AE74B6" w:rsidP="00736EC7">
            <w:pPr>
              <w:spacing w:line="360" w:lineRule="atLeast"/>
              <w:rPr>
                <w:rFonts w:asciiTheme="majorEastAsia" w:eastAsiaTheme="majorEastAsia" w:hAnsiTheme="majorEastAsia"/>
                <w:color w:val="000000" w:themeColor="text1"/>
                <w:spacing w:val="2"/>
                <w:szCs w:val="21"/>
              </w:rPr>
            </w:pPr>
          </w:p>
        </w:tc>
      </w:tr>
      <w:tr w:rsidR="00AE74B6" w:rsidTr="00736EC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szCs w:val="21"/>
              </w:rPr>
            </w:pPr>
          </w:p>
        </w:tc>
        <w:tc>
          <w:tcPr>
            <w:tcW w:w="0" w:type="auto"/>
            <w:vMerge/>
            <w:tcBorders>
              <w:top w:val="nil"/>
              <w:left w:val="single" w:sz="4" w:space="0" w:color="auto"/>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nil"/>
              <w:left w:val="nil"/>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b/>
                <w:bCs/>
                <w:color w:val="000000" w:themeColor="text1"/>
                <w:szCs w:val="21"/>
              </w:rPr>
            </w:pPr>
          </w:p>
        </w:tc>
        <w:tc>
          <w:tcPr>
            <w:tcW w:w="577" w:type="pct"/>
            <w:vMerge w:val="restart"/>
            <w:tcBorders>
              <w:top w:val="nil"/>
              <w:left w:val="nil"/>
              <w:bottom w:val="nil"/>
              <w:right w:val="single" w:sz="4" w:space="0" w:color="auto"/>
            </w:tcBorders>
            <w:tcMar>
              <w:top w:w="8" w:type="dxa"/>
              <w:left w:w="8" w:type="dxa"/>
              <w:bottom w:w="0" w:type="dxa"/>
              <w:right w:w="8" w:type="dxa"/>
            </w:tcMar>
            <w:vAlign w:val="center"/>
          </w:tcPr>
          <w:p w:rsidR="00AE74B6" w:rsidRDefault="00AE74B6" w:rsidP="00736EC7">
            <w:pPr>
              <w:widowControl/>
              <w:spacing w:line="360" w:lineRule="atLeast"/>
              <w:jc w:val="center"/>
              <w:textAlignment w:val="center"/>
              <w:rPr>
                <w:rStyle w:val="font31"/>
                <w:rFonts w:hint="default"/>
                <w:color w:val="000000" w:themeColor="text1"/>
              </w:rPr>
            </w:pPr>
            <w:r>
              <w:rPr>
                <w:rStyle w:val="font31"/>
                <w:rFonts w:hint="default"/>
                <w:color w:val="000000" w:themeColor="text1"/>
              </w:rPr>
              <w:t>投标现场：平台功能演示（时间不超过20分钟）</w:t>
            </w:r>
          </w:p>
          <w:p w:rsidR="00AE74B6" w:rsidRDefault="00AE74B6" w:rsidP="00736EC7">
            <w:pPr>
              <w:widowControl/>
              <w:spacing w:line="360" w:lineRule="atLeast"/>
              <w:jc w:val="center"/>
              <w:textAlignment w:val="center"/>
              <w:rPr>
                <w:rFonts w:eastAsiaTheme="minorEastAsia"/>
              </w:rPr>
            </w:pPr>
            <w:r>
              <w:rPr>
                <w:rFonts w:ascii="宋体" w:hAnsi="宋体" w:cs="宋体" w:hint="eastAsia"/>
                <w:color w:val="000000" w:themeColor="text1"/>
                <w:szCs w:val="21"/>
              </w:rPr>
              <w:t>（15分）</w:t>
            </w:r>
          </w:p>
        </w:tc>
        <w:tc>
          <w:tcPr>
            <w:tcW w:w="3551" w:type="pct"/>
            <w:tcBorders>
              <w:top w:val="nil"/>
              <w:left w:val="single" w:sz="4" w:space="0" w:color="auto"/>
              <w:bottom w:val="single" w:sz="4" w:space="0" w:color="auto"/>
              <w:right w:val="single" w:sz="8" w:space="0" w:color="000000"/>
            </w:tcBorders>
            <w:tcMar>
              <w:top w:w="8" w:type="dxa"/>
              <w:left w:w="8" w:type="dxa"/>
              <w:bottom w:w="0" w:type="dxa"/>
              <w:right w:w="8" w:type="dxa"/>
            </w:tcMar>
            <w:vAlign w:val="center"/>
          </w:tcPr>
          <w:p w:rsidR="00AE74B6" w:rsidRDefault="00AE74B6" w:rsidP="00736EC7">
            <w:pPr>
              <w:widowControl/>
              <w:spacing w:line="360" w:lineRule="atLeast"/>
              <w:textAlignment w:val="center"/>
              <w:rPr>
                <w:rFonts w:ascii="宋体" w:hAnsi="宋体" w:cs="宋体"/>
                <w:color w:val="000000" w:themeColor="text1"/>
                <w:szCs w:val="21"/>
              </w:rPr>
            </w:pPr>
          </w:p>
          <w:p w:rsidR="00AE74B6" w:rsidRDefault="00AE74B6" w:rsidP="00736EC7">
            <w:pPr>
              <w:widowControl/>
              <w:spacing w:line="360" w:lineRule="atLeast"/>
              <w:textAlignment w:val="center"/>
              <w:rPr>
                <w:rFonts w:ascii="宋体" w:hAnsi="宋体" w:cs="宋体"/>
                <w:color w:val="000000" w:themeColor="text1"/>
                <w:szCs w:val="21"/>
              </w:rPr>
            </w:pPr>
            <w:r>
              <w:rPr>
                <w:rFonts w:ascii="宋体" w:hAnsi="宋体" w:cs="宋体" w:hint="eastAsia"/>
                <w:color w:val="000000" w:themeColor="text1"/>
                <w:szCs w:val="21"/>
              </w:rPr>
              <w:t>对本项目采购清单及要求中标注为“▲”的指标项，投标人需按以下要求进行演示（现场演示或视频演示），无法提供或提供的内容不满足要求的或PPT演示，不得分。</w:t>
            </w:r>
          </w:p>
          <w:p w:rsidR="00AE74B6" w:rsidRDefault="00AE74B6" w:rsidP="00736EC7">
            <w:pPr>
              <w:widowControl/>
              <w:spacing w:line="360" w:lineRule="atLeast"/>
              <w:textAlignment w:val="center"/>
              <w:rPr>
                <w:rFonts w:ascii="宋体" w:hAnsi="宋体" w:cs="宋体"/>
                <w:color w:val="000000" w:themeColor="text1"/>
                <w:szCs w:val="21"/>
              </w:rPr>
            </w:pPr>
          </w:p>
        </w:tc>
      </w:tr>
      <w:tr w:rsidR="00AE74B6" w:rsidTr="00736EC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szCs w:val="21"/>
              </w:rPr>
            </w:pPr>
          </w:p>
        </w:tc>
        <w:tc>
          <w:tcPr>
            <w:tcW w:w="0" w:type="auto"/>
            <w:vMerge/>
            <w:tcBorders>
              <w:top w:val="nil"/>
              <w:left w:val="single" w:sz="4" w:space="0" w:color="auto"/>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nil"/>
              <w:left w:val="nil"/>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b/>
                <w:bCs/>
                <w:color w:val="000000" w:themeColor="text1"/>
                <w:szCs w:val="21"/>
              </w:rPr>
            </w:pPr>
          </w:p>
        </w:tc>
        <w:tc>
          <w:tcPr>
            <w:tcW w:w="577" w:type="pct"/>
            <w:vMerge/>
            <w:tcBorders>
              <w:top w:val="nil"/>
              <w:left w:val="nil"/>
              <w:bottom w:val="nil"/>
              <w:right w:val="single" w:sz="4" w:space="0" w:color="auto"/>
            </w:tcBorders>
            <w:vAlign w:val="center"/>
            <w:hideMark/>
          </w:tcPr>
          <w:p w:rsidR="00AE74B6" w:rsidRDefault="00AE74B6" w:rsidP="00736EC7">
            <w:pPr>
              <w:widowControl/>
              <w:spacing w:line="360" w:lineRule="atLeast"/>
              <w:jc w:val="left"/>
              <w:rPr>
                <w:rFonts w:asciiTheme="minorHAnsi" w:eastAsiaTheme="minorEastAsia" w:hAnsiTheme="minorHAnsi"/>
                <w:szCs w:val="24"/>
              </w:rPr>
            </w:pPr>
          </w:p>
        </w:tc>
        <w:tc>
          <w:tcPr>
            <w:tcW w:w="3551"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rsidR="00AE74B6" w:rsidRDefault="00AE74B6" w:rsidP="00736EC7">
            <w:pPr>
              <w:widowControl/>
              <w:spacing w:line="360" w:lineRule="atLeast"/>
              <w:textAlignment w:val="center"/>
              <w:rPr>
                <w:rFonts w:ascii="宋体" w:hAnsi="宋体" w:cs="宋体"/>
                <w:b/>
                <w:bCs/>
                <w:color w:val="000000" w:themeColor="text1"/>
                <w:szCs w:val="21"/>
              </w:rPr>
            </w:pPr>
          </w:p>
          <w:p w:rsidR="00AE74B6" w:rsidRDefault="00AE74B6" w:rsidP="00736EC7">
            <w:pPr>
              <w:widowControl/>
              <w:spacing w:line="360" w:lineRule="atLeast"/>
              <w:textAlignment w:val="center"/>
              <w:rPr>
                <w:rFonts w:ascii="宋体" w:hAnsi="宋体" w:cs="宋体"/>
                <w:color w:val="000000" w:themeColor="text1"/>
                <w:szCs w:val="21"/>
              </w:rPr>
            </w:pPr>
            <w:proofErr w:type="gramStart"/>
            <w:r>
              <w:rPr>
                <w:rFonts w:ascii="宋体" w:hAnsi="宋体" w:cs="宋体" w:hint="eastAsia"/>
                <w:b/>
                <w:bCs/>
                <w:color w:val="000000" w:themeColor="text1"/>
                <w:szCs w:val="21"/>
              </w:rPr>
              <w:t>一</w:t>
            </w:r>
            <w:proofErr w:type="gramEnd"/>
            <w:r>
              <w:rPr>
                <w:rFonts w:ascii="宋体" w:hAnsi="宋体" w:cs="宋体" w:hint="eastAsia"/>
                <w:b/>
                <w:bCs/>
                <w:color w:val="000000" w:themeColor="text1"/>
                <w:szCs w:val="21"/>
              </w:rPr>
              <w:t>：采购清单及要求中的软件部分</w:t>
            </w:r>
            <w:r>
              <w:rPr>
                <w:rStyle w:val="font21"/>
                <w:rFonts w:hint="default"/>
                <w:b/>
                <w:bCs/>
                <w:color w:val="000000" w:themeColor="text1"/>
              </w:rPr>
              <w:t>“</w:t>
            </w:r>
            <w:r>
              <w:rPr>
                <w:rFonts w:ascii="宋体" w:hAnsi="宋体" w:cs="宋体" w:hint="eastAsia"/>
                <w:b/>
                <w:bCs/>
                <w:color w:val="000000" w:themeColor="text1"/>
                <w:szCs w:val="21"/>
              </w:rPr>
              <w:t>大数据教学与实践管理系统</w:t>
            </w:r>
            <w:r>
              <w:rPr>
                <w:rStyle w:val="font21"/>
                <w:rFonts w:hint="default"/>
                <w:b/>
                <w:bCs/>
                <w:color w:val="000000" w:themeColor="text1"/>
              </w:rPr>
              <w:t>”</w:t>
            </w:r>
            <w:r>
              <w:rPr>
                <w:rFonts w:ascii="宋体" w:hAnsi="宋体" w:cs="宋体" w:hint="eastAsia"/>
                <w:b/>
                <w:bCs/>
                <w:color w:val="000000" w:themeColor="text1"/>
                <w:szCs w:val="21"/>
              </w:rPr>
              <w:t>进行演示，演示内容如下：</w:t>
            </w:r>
          </w:p>
          <w:p w:rsidR="00AE74B6" w:rsidRDefault="00AE74B6" w:rsidP="00736EC7">
            <w:pPr>
              <w:pStyle w:val="a6"/>
              <w:spacing w:after="0" w:line="360" w:lineRule="atLeast"/>
              <w:rPr>
                <w:rFonts w:ascii="宋体" w:hAnsi="宋体" w:cs="宋体"/>
                <w:color w:val="000000" w:themeColor="text1"/>
                <w:szCs w:val="21"/>
              </w:rPr>
            </w:pPr>
            <w:r>
              <w:rPr>
                <w:rFonts w:ascii="宋体" w:hAnsi="宋体" w:cs="宋体" w:hint="eastAsia"/>
                <w:color w:val="000000" w:themeColor="text1"/>
                <w:kern w:val="0"/>
                <w:szCs w:val="21"/>
                <w:u w:val="single"/>
              </w:rPr>
              <w:t>1、管理员首页功能</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pStyle w:val="af7"/>
              <w:spacing w:line="360" w:lineRule="atLeast"/>
            </w:pPr>
            <w:r>
              <w:rPr>
                <w:rFonts w:hint="eastAsia"/>
              </w:rPr>
              <w:lastRenderedPageBreak/>
              <w:t>可提供整体教学资源利用情况的统计展现，支持图形化展现目前资源池中CPU、存储、二级存储、内存资源使用情况；提供从上课用机、个人用机、实验室使用等维度查看虚拟机整体使用情况；提供从课时总数和虚拟机台次统计分析整体上课使用情况；</w:t>
            </w:r>
          </w:p>
          <w:p w:rsidR="00AE74B6" w:rsidRDefault="00AE74B6" w:rsidP="00736EC7">
            <w:pPr>
              <w:pStyle w:val="af7"/>
              <w:spacing w:line="360" w:lineRule="atLeast"/>
            </w:pPr>
            <w:r>
              <w:rPr>
                <w:rFonts w:hint="eastAsia"/>
              </w:rPr>
              <w:t>可支持一键分配实验室教学场景及个人预约用机场景的CPU、内存、存储的总体资源比例；并可从CPU、内存、二级存储设定预警阀值；可记录所有实验模板虚拟机操作记录及时间。</w:t>
            </w:r>
          </w:p>
          <w:p w:rsidR="00AE74B6" w:rsidRDefault="00AE74B6" w:rsidP="00736EC7">
            <w:pPr>
              <w:pStyle w:val="af7"/>
              <w:spacing w:line="360" w:lineRule="atLeast"/>
              <w:rPr>
                <w:color w:val="000000" w:themeColor="text1"/>
                <w:u w:val="single"/>
              </w:rPr>
            </w:pPr>
            <w:r>
              <w:rPr>
                <w:rFonts w:hint="eastAsia"/>
                <w:color w:val="000000" w:themeColor="text1"/>
                <w:kern w:val="0"/>
                <w:u w:val="single"/>
              </w:rPr>
              <w:t>2、教师首页功能</w:t>
            </w:r>
            <w:r>
              <w:rPr>
                <w:rFonts w:hint="eastAsia"/>
                <w:b/>
                <w:bCs/>
                <w:color w:val="000000" w:themeColor="text1"/>
                <w:kern w:val="0"/>
                <w:u w:val="single"/>
              </w:rPr>
              <w:t>（1.5分，以下功能要求需全部满足，否则不得分）</w:t>
            </w:r>
          </w:p>
          <w:p w:rsidR="00AE74B6" w:rsidRDefault="00AE74B6" w:rsidP="00736EC7">
            <w:pPr>
              <w:pStyle w:val="af7"/>
              <w:spacing w:line="360" w:lineRule="atLeast"/>
              <w:rPr>
                <w:color w:val="000000" w:themeColor="text1"/>
              </w:rPr>
            </w:pPr>
            <w:r>
              <w:rPr>
                <w:rFonts w:hint="eastAsia"/>
              </w:rPr>
              <w:t>提供排课管理功能，查看课程安排、发起排课，支持教师一键创建和释放实验用机资源；提供今日授课内容、基于班级的实验课程的整体教学进度统计、授课记录、实验报告批阅和问题回复的待办事务快捷入口；提供个人中心，支持对个人信息、用户密码管理和远程协助信息查看；</w:t>
            </w:r>
          </w:p>
          <w:p w:rsidR="00AE74B6" w:rsidRDefault="00AE74B6" w:rsidP="00736EC7">
            <w:pPr>
              <w:widowControl/>
              <w:spacing w:line="360" w:lineRule="atLeast"/>
              <w:textAlignment w:val="center"/>
              <w:rPr>
                <w:rFonts w:ascii="宋体" w:hAnsi="宋体" w:cs="宋体"/>
                <w:color w:val="000000" w:themeColor="text1"/>
                <w:szCs w:val="21"/>
                <w:u w:val="single"/>
              </w:rPr>
            </w:pPr>
            <w:r>
              <w:rPr>
                <w:rFonts w:ascii="宋体" w:hAnsi="宋体" w:cs="宋体" w:hint="eastAsia"/>
                <w:color w:val="000000" w:themeColor="text1"/>
                <w:kern w:val="0"/>
                <w:szCs w:val="21"/>
                <w:u w:val="single"/>
              </w:rPr>
              <w:t>3、实验预约模块</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pStyle w:val="af7"/>
              <w:spacing w:line="360" w:lineRule="atLeast"/>
              <w:rPr>
                <w:color w:val="000000" w:themeColor="text1"/>
              </w:rPr>
            </w:pPr>
            <w:r>
              <w:rPr>
                <w:rFonts w:hint="eastAsia"/>
              </w:rPr>
              <w:t>提供个人按需预约使用实验用</w:t>
            </w:r>
            <w:proofErr w:type="gramStart"/>
            <w:r>
              <w:rPr>
                <w:rFonts w:hint="eastAsia"/>
              </w:rPr>
              <w:t>机资源</w:t>
            </w:r>
            <w:proofErr w:type="gramEnd"/>
            <w:r>
              <w:rPr>
                <w:rFonts w:hint="eastAsia"/>
              </w:rPr>
              <w:t>功能，支持按已分配课程实验模板方式预约创建实验用机；提供预约是否需要审核功能，支持对个人预约实验用机进行管理配置；</w:t>
            </w:r>
          </w:p>
          <w:p w:rsidR="00AE74B6" w:rsidRDefault="00AE74B6" w:rsidP="00736EC7">
            <w:pPr>
              <w:widowControl/>
              <w:spacing w:line="360" w:lineRule="atLeast"/>
              <w:textAlignment w:val="center"/>
              <w:rPr>
                <w:rFonts w:ascii="宋体" w:hAnsi="宋体" w:cs="宋体"/>
                <w:color w:val="000000" w:themeColor="text1"/>
                <w:szCs w:val="21"/>
                <w:u w:val="single"/>
              </w:rPr>
            </w:pPr>
            <w:r>
              <w:rPr>
                <w:rFonts w:ascii="宋体" w:hAnsi="宋体" w:cs="宋体" w:hint="eastAsia"/>
                <w:color w:val="000000" w:themeColor="text1"/>
                <w:kern w:val="0"/>
                <w:szCs w:val="21"/>
                <w:u w:val="single"/>
              </w:rPr>
              <w:t>4、资源中心模块</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pStyle w:val="af7"/>
              <w:spacing w:line="360" w:lineRule="atLeast"/>
              <w:rPr>
                <w:color w:val="000000" w:themeColor="text1"/>
              </w:rPr>
            </w:pPr>
            <w:r>
              <w:rPr>
                <w:rFonts w:hint="eastAsia"/>
              </w:rPr>
              <w:t>提供资源中心功能，支持老师</w:t>
            </w:r>
            <w:proofErr w:type="gramStart"/>
            <w:r>
              <w:rPr>
                <w:rFonts w:hint="eastAsia"/>
              </w:rPr>
              <w:t>学生免密登录</w:t>
            </w:r>
            <w:proofErr w:type="gramEnd"/>
            <w:r>
              <w:rPr>
                <w:rFonts w:hint="eastAsia"/>
              </w:rPr>
              <w:t>，老师可按课程、班级一键下发各位学习资料到学生资源中心；支持批量清理资源中心空间；提供自定义上</w:t>
            </w:r>
            <w:proofErr w:type="gramStart"/>
            <w:r>
              <w:rPr>
                <w:rFonts w:hint="eastAsia"/>
              </w:rPr>
              <w:t>传学习</w:t>
            </w:r>
            <w:proofErr w:type="gramEnd"/>
            <w:r>
              <w:rPr>
                <w:rFonts w:hint="eastAsia"/>
              </w:rPr>
              <w:t>资料到资源中心，并可去资源中心设置独立密码，删除、下载、分享等操作；</w:t>
            </w:r>
          </w:p>
          <w:p w:rsidR="00AE74B6" w:rsidRDefault="00AE74B6" w:rsidP="00736EC7">
            <w:pPr>
              <w:widowControl/>
              <w:spacing w:line="360" w:lineRule="atLeast"/>
              <w:textAlignment w:val="center"/>
              <w:rPr>
                <w:rFonts w:ascii="宋体" w:hAnsi="宋体" w:cs="宋体"/>
                <w:color w:val="000000" w:themeColor="text1"/>
                <w:szCs w:val="21"/>
                <w:u w:val="single"/>
              </w:rPr>
            </w:pPr>
            <w:r>
              <w:rPr>
                <w:rFonts w:ascii="宋体" w:hAnsi="宋体" w:cs="宋体" w:hint="eastAsia"/>
                <w:color w:val="000000" w:themeColor="text1"/>
                <w:kern w:val="0"/>
                <w:szCs w:val="21"/>
                <w:u w:val="single"/>
              </w:rPr>
              <w:t>5、实验室管理功能</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widowControl/>
              <w:spacing w:line="360" w:lineRule="atLeast"/>
              <w:textAlignment w:val="center"/>
              <w:rPr>
                <w:rFonts w:ascii="宋体" w:hAnsi="宋体" w:cs="宋体"/>
                <w:color w:val="000000" w:themeColor="text1"/>
                <w:kern w:val="0"/>
                <w:szCs w:val="21"/>
              </w:rPr>
            </w:pPr>
            <w:r>
              <w:rPr>
                <w:rFonts w:ascii="宋体" w:hAnsi="宋体" w:cs="宋体" w:hint="eastAsia"/>
                <w:color w:val="000000"/>
                <w:kern w:val="0"/>
                <w:szCs w:val="21"/>
              </w:rPr>
              <w:t>提供实验室管理功能，并且支持实验室即时使用情况查询；</w:t>
            </w:r>
            <w:r>
              <w:rPr>
                <w:rFonts w:hint="eastAsia"/>
                <w:color w:val="000000"/>
                <w:kern w:val="0"/>
              </w:rPr>
              <w:t>提供实验室开放管理功能，通过日历视图直观便捷的设置、展现实验室的开放情况；可按学期、年月、实验室类型，选择全部开启、全部关闭、自习开放，也支持点击日历上一键开放关闭当日实验室；</w:t>
            </w:r>
          </w:p>
          <w:p w:rsidR="00AE74B6" w:rsidRDefault="00AE74B6" w:rsidP="00736EC7">
            <w:pPr>
              <w:widowControl/>
              <w:spacing w:line="360" w:lineRule="atLeast"/>
              <w:textAlignment w:val="center"/>
              <w:rPr>
                <w:rFonts w:ascii="宋体" w:hAnsi="宋体" w:cs="宋体"/>
                <w:color w:val="000000" w:themeColor="text1"/>
                <w:kern w:val="0"/>
                <w:szCs w:val="21"/>
              </w:rPr>
            </w:pPr>
          </w:p>
        </w:tc>
      </w:tr>
      <w:tr w:rsidR="00AE74B6" w:rsidTr="00736EC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szCs w:val="21"/>
              </w:rPr>
            </w:pPr>
          </w:p>
        </w:tc>
        <w:tc>
          <w:tcPr>
            <w:tcW w:w="0" w:type="auto"/>
            <w:vMerge/>
            <w:tcBorders>
              <w:top w:val="nil"/>
              <w:left w:val="single" w:sz="4" w:space="0" w:color="auto"/>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nil"/>
              <w:left w:val="nil"/>
              <w:bottom w:val="single" w:sz="4" w:space="0" w:color="auto"/>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b/>
                <w:bCs/>
                <w:color w:val="000000" w:themeColor="text1"/>
                <w:szCs w:val="21"/>
              </w:rPr>
            </w:pPr>
          </w:p>
        </w:tc>
        <w:tc>
          <w:tcPr>
            <w:tcW w:w="577" w:type="pct"/>
            <w:tcBorders>
              <w:top w:val="nil"/>
              <w:left w:val="nil"/>
              <w:bottom w:val="nil"/>
              <w:right w:val="single" w:sz="4" w:space="0" w:color="auto"/>
            </w:tcBorders>
            <w:tcMar>
              <w:top w:w="8" w:type="dxa"/>
              <w:left w:w="8" w:type="dxa"/>
              <w:bottom w:w="0" w:type="dxa"/>
              <w:right w:w="8" w:type="dxa"/>
            </w:tcMar>
            <w:vAlign w:val="center"/>
          </w:tcPr>
          <w:p w:rsidR="00AE74B6" w:rsidRDefault="00AE74B6" w:rsidP="00736EC7">
            <w:pPr>
              <w:pStyle w:val="a6"/>
              <w:spacing w:after="0" w:line="360" w:lineRule="atLeast"/>
              <w:jc w:val="center"/>
              <w:rPr>
                <w:rFonts w:ascii="宋体" w:hAnsi="宋体" w:cs="宋体"/>
                <w:color w:val="000000" w:themeColor="text1"/>
                <w:szCs w:val="21"/>
              </w:rPr>
            </w:pPr>
          </w:p>
        </w:tc>
        <w:tc>
          <w:tcPr>
            <w:tcW w:w="3551" w:type="pct"/>
            <w:tcBorders>
              <w:top w:val="single" w:sz="4" w:space="0" w:color="auto"/>
              <w:left w:val="single" w:sz="4" w:space="0" w:color="auto"/>
              <w:bottom w:val="single" w:sz="4" w:space="0" w:color="auto"/>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textAlignment w:val="center"/>
              <w:rPr>
                <w:rFonts w:ascii="宋体" w:hAnsi="宋体" w:cs="宋体"/>
                <w:b/>
                <w:bCs/>
                <w:color w:val="000000" w:themeColor="text1"/>
                <w:szCs w:val="21"/>
              </w:rPr>
            </w:pPr>
            <w:r>
              <w:rPr>
                <w:rFonts w:ascii="宋体" w:hAnsi="宋体" w:cs="宋体" w:hint="eastAsia"/>
                <w:b/>
                <w:bCs/>
                <w:color w:val="000000" w:themeColor="text1"/>
                <w:szCs w:val="21"/>
              </w:rPr>
              <w:t>二：采购清单及要求中的软件部分“工业互联网云应用开发软件系统”</w:t>
            </w:r>
            <w:r>
              <w:rPr>
                <w:rStyle w:val="font21"/>
                <w:rFonts w:hint="default"/>
                <w:b/>
                <w:bCs/>
                <w:color w:val="000000" w:themeColor="text1"/>
              </w:rPr>
              <w:t>进行演示</w:t>
            </w:r>
            <w:r>
              <w:rPr>
                <w:rFonts w:ascii="宋体" w:hAnsi="宋体" w:cs="宋体" w:hint="eastAsia"/>
                <w:b/>
                <w:bCs/>
                <w:color w:val="000000" w:themeColor="text1"/>
                <w:szCs w:val="21"/>
              </w:rPr>
              <w:t>，演示内容如下：</w:t>
            </w:r>
          </w:p>
          <w:p w:rsidR="00AE74B6" w:rsidRDefault="00AE74B6" w:rsidP="00736EC7">
            <w:pPr>
              <w:widowControl/>
              <w:spacing w:line="360" w:lineRule="atLeast"/>
              <w:jc w:val="left"/>
              <w:textAlignment w:val="center"/>
              <w:rPr>
                <w:rFonts w:ascii="宋体" w:hAnsi="宋体" w:cs="宋体"/>
                <w:color w:val="000000" w:themeColor="text1"/>
                <w:szCs w:val="21"/>
                <w:u w:val="single"/>
              </w:rPr>
            </w:pPr>
            <w:r>
              <w:rPr>
                <w:rFonts w:ascii="宋体" w:hAnsi="宋体" w:cs="宋体" w:hint="eastAsia"/>
                <w:color w:val="000000" w:themeColor="text1"/>
                <w:szCs w:val="21"/>
                <w:u w:val="single"/>
              </w:rPr>
              <w:lastRenderedPageBreak/>
              <w:t>1、工业互联网</w:t>
            </w:r>
            <w:proofErr w:type="gramStart"/>
            <w:r>
              <w:rPr>
                <w:rFonts w:ascii="宋体" w:hAnsi="宋体" w:cs="宋体" w:hint="eastAsia"/>
                <w:color w:val="000000" w:themeColor="text1"/>
                <w:szCs w:val="21"/>
                <w:u w:val="single"/>
              </w:rPr>
              <w:t>云应用</w:t>
            </w:r>
            <w:proofErr w:type="gramEnd"/>
            <w:r>
              <w:rPr>
                <w:rFonts w:ascii="宋体" w:hAnsi="宋体" w:cs="宋体" w:hint="eastAsia"/>
                <w:color w:val="000000" w:themeColor="text1"/>
                <w:szCs w:val="21"/>
                <w:u w:val="single"/>
              </w:rPr>
              <w:t>开发软件系统中“17.工业互联网组网系统”的“系统平台”</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widowControl/>
              <w:spacing w:line="360" w:lineRule="atLeast"/>
              <w:jc w:val="left"/>
              <w:textAlignment w:val="center"/>
              <w:rPr>
                <w:rFonts w:ascii="宋体" w:hAnsi="宋体" w:cs="宋体"/>
                <w:color w:val="000000" w:themeColor="text1"/>
                <w:szCs w:val="21"/>
              </w:rPr>
            </w:pPr>
            <w:r>
              <w:rPr>
                <w:rFonts w:ascii="宋体" w:hAnsi="宋体" w:cs="宋体" w:hint="eastAsia"/>
                <w:color w:val="000000" w:themeColor="text1"/>
                <w:szCs w:val="21"/>
              </w:rPr>
              <w:t>须含</w:t>
            </w:r>
            <w:proofErr w:type="spellStart"/>
            <w:r>
              <w:rPr>
                <w:rFonts w:ascii="宋体" w:hAnsi="宋体" w:cs="宋体" w:hint="eastAsia"/>
                <w:color w:val="000000" w:themeColor="text1"/>
                <w:szCs w:val="21"/>
              </w:rPr>
              <w:t>xPON</w:t>
            </w:r>
            <w:proofErr w:type="spellEnd"/>
            <w:r>
              <w:rPr>
                <w:rFonts w:ascii="宋体" w:hAnsi="宋体" w:cs="宋体" w:hint="eastAsia"/>
                <w:color w:val="000000" w:themeColor="text1"/>
                <w:szCs w:val="21"/>
              </w:rPr>
              <w:t>接入和WLAN无线接入，AAA系统，VoIP与IPTV，IP承载网、终端，</w:t>
            </w:r>
            <w:proofErr w:type="gramStart"/>
            <w:r>
              <w:rPr>
                <w:rFonts w:ascii="宋体" w:hAnsi="宋体" w:cs="宋体" w:hint="eastAsia"/>
                <w:color w:val="000000" w:themeColor="text1"/>
                <w:szCs w:val="21"/>
              </w:rPr>
              <w:t>全产品</w:t>
            </w:r>
            <w:proofErr w:type="gramEnd"/>
            <w:r>
              <w:rPr>
                <w:rFonts w:ascii="宋体" w:hAnsi="宋体" w:cs="宋体" w:hint="eastAsia"/>
                <w:color w:val="000000" w:themeColor="text1"/>
                <w:szCs w:val="21"/>
              </w:rPr>
              <w:t>的仿真；不少于13种</w:t>
            </w:r>
            <w:proofErr w:type="gramStart"/>
            <w:r>
              <w:rPr>
                <w:rFonts w:ascii="宋体" w:hAnsi="宋体" w:cs="宋体" w:hint="eastAsia"/>
                <w:color w:val="000000" w:themeColor="text1"/>
                <w:szCs w:val="21"/>
              </w:rPr>
              <w:t>类别网</w:t>
            </w:r>
            <w:proofErr w:type="gramEnd"/>
            <w:r>
              <w:rPr>
                <w:rFonts w:ascii="宋体" w:hAnsi="宋体" w:cs="宋体" w:hint="eastAsia"/>
                <w:color w:val="000000" w:themeColor="text1"/>
                <w:szCs w:val="21"/>
              </w:rPr>
              <w:t>元（OLT/ONU/BRAS/AC/AP/</w:t>
            </w:r>
            <w:proofErr w:type="spellStart"/>
            <w:r>
              <w:rPr>
                <w:rFonts w:ascii="宋体" w:hAnsi="宋体" w:cs="宋体" w:hint="eastAsia"/>
                <w:color w:val="000000" w:themeColor="text1"/>
                <w:szCs w:val="21"/>
              </w:rPr>
              <w:t>AAAServer</w:t>
            </w:r>
            <w:proofErr w:type="spellEnd"/>
            <w:r>
              <w:rPr>
                <w:rFonts w:ascii="宋体" w:hAnsi="宋体" w:cs="宋体" w:hint="eastAsia"/>
                <w:color w:val="000000" w:themeColor="text1"/>
                <w:szCs w:val="21"/>
              </w:rPr>
              <w:t>/</w:t>
            </w:r>
            <w:proofErr w:type="spellStart"/>
            <w:r>
              <w:rPr>
                <w:rFonts w:ascii="宋体" w:hAnsi="宋体" w:cs="宋体" w:hint="eastAsia"/>
                <w:color w:val="000000" w:themeColor="text1"/>
                <w:szCs w:val="21"/>
              </w:rPr>
              <w:t>PortalServer</w:t>
            </w:r>
            <w:proofErr w:type="spellEnd"/>
            <w:r>
              <w:rPr>
                <w:rFonts w:ascii="宋体" w:hAnsi="宋体" w:cs="宋体" w:hint="eastAsia"/>
                <w:color w:val="000000" w:themeColor="text1"/>
                <w:szCs w:val="21"/>
              </w:rPr>
              <w:t>/SS/Video Server/OTN/RT/SW/终端），仿真点不低于12个。</w:t>
            </w:r>
          </w:p>
          <w:p w:rsidR="00AE74B6" w:rsidRDefault="00AE74B6" w:rsidP="00736EC7">
            <w:pPr>
              <w:widowControl/>
              <w:spacing w:line="360" w:lineRule="atLeast"/>
              <w:textAlignment w:val="center"/>
              <w:rPr>
                <w:rFonts w:ascii="宋体" w:hAnsi="宋体" w:cs="宋体"/>
                <w:color w:val="000000" w:themeColor="text1"/>
                <w:szCs w:val="21"/>
                <w:u w:val="single"/>
              </w:rPr>
            </w:pPr>
            <w:r>
              <w:rPr>
                <w:rFonts w:ascii="宋体" w:hAnsi="宋体" w:cs="宋体" w:hint="eastAsia"/>
                <w:color w:val="000000" w:themeColor="text1"/>
                <w:szCs w:val="21"/>
                <w:u w:val="single"/>
              </w:rPr>
              <w:t>2、工业互联网</w:t>
            </w:r>
            <w:proofErr w:type="gramStart"/>
            <w:r>
              <w:rPr>
                <w:rFonts w:ascii="宋体" w:hAnsi="宋体" w:cs="宋体" w:hint="eastAsia"/>
                <w:color w:val="000000" w:themeColor="text1"/>
                <w:szCs w:val="21"/>
                <w:u w:val="single"/>
              </w:rPr>
              <w:t>云应用</w:t>
            </w:r>
            <w:proofErr w:type="gramEnd"/>
            <w:r>
              <w:rPr>
                <w:rFonts w:ascii="宋体" w:hAnsi="宋体" w:cs="宋体" w:hint="eastAsia"/>
                <w:color w:val="000000" w:themeColor="text1"/>
                <w:szCs w:val="21"/>
                <w:u w:val="single"/>
              </w:rPr>
              <w:t>开发软件系统中“17.工业互联网组网系统”的“XPON容量规划”</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widowControl/>
              <w:spacing w:line="360" w:lineRule="atLeast"/>
              <w:textAlignment w:val="center"/>
              <w:rPr>
                <w:rFonts w:ascii="宋体" w:hAnsi="宋体" w:cs="宋体"/>
                <w:color w:val="000000" w:themeColor="text1"/>
                <w:szCs w:val="21"/>
              </w:rPr>
            </w:pPr>
            <w:proofErr w:type="gramStart"/>
            <w:r>
              <w:rPr>
                <w:rFonts w:ascii="宋体" w:hAnsi="宋体" w:cs="宋体" w:hint="eastAsia"/>
                <w:color w:val="000000" w:themeColor="text1"/>
                <w:szCs w:val="21"/>
              </w:rPr>
              <w:t>需包括</w:t>
            </w:r>
            <w:proofErr w:type="gramEnd"/>
            <w:r>
              <w:rPr>
                <w:rFonts w:ascii="宋体" w:hAnsi="宋体" w:cs="宋体" w:hint="eastAsia"/>
                <w:color w:val="000000" w:themeColor="text1"/>
                <w:szCs w:val="21"/>
              </w:rPr>
              <w:t>接入类型选择、参数规划、ONU规划、PON口规划、分光器选型、上行带宽规划以及报告输出等操作步骤与内容。</w:t>
            </w:r>
          </w:p>
          <w:p w:rsidR="00AE74B6" w:rsidRDefault="00AE74B6" w:rsidP="00736EC7">
            <w:pPr>
              <w:spacing w:line="360" w:lineRule="atLeast"/>
              <w:rPr>
                <w:rFonts w:ascii="宋体" w:hAnsi="宋体" w:cs="宋体"/>
                <w:color w:val="000000" w:themeColor="text1"/>
                <w:szCs w:val="21"/>
                <w:u w:val="single"/>
              </w:rPr>
            </w:pPr>
            <w:r>
              <w:rPr>
                <w:rFonts w:ascii="宋体" w:hAnsi="宋体" w:cs="宋体" w:hint="eastAsia"/>
                <w:color w:val="000000" w:themeColor="text1"/>
                <w:szCs w:val="21"/>
                <w:u w:val="single"/>
              </w:rPr>
              <w:t>3、工业互联网</w:t>
            </w:r>
            <w:proofErr w:type="gramStart"/>
            <w:r>
              <w:rPr>
                <w:rFonts w:ascii="宋体" w:hAnsi="宋体" w:cs="宋体" w:hint="eastAsia"/>
                <w:color w:val="000000" w:themeColor="text1"/>
                <w:szCs w:val="21"/>
                <w:u w:val="single"/>
              </w:rPr>
              <w:t>云应用</w:t>
            </w:r>
            <w:proofErr w:type="gramEnd"/>
            <w:r>
              <w:rPr>
                <w:rFonts w:ascii="宋体" w:hAnsi="宋体" w:cs="宋体" w:hint="eastAsia"/>
                <w:color w:val="000000" w:themeColor="text1"/>
                <w:szCs w:val="21"/>
                <w:u w:val="single"/>
              </w:rPr>
              <w:t>开发软件系统中“17.工业互联网组网系统”的“业务调试功能”</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pStyle w:val="a6"/>
              <w:spacing w:after="0" w:line="360" w:lineRule="atLeast"/>
              <w:rPr>
                <w:rFonts w:ascii="宋体" w:hAnsi="宋体" w:cs="宋体"/>
                <w:color w:val="000000" w:themeColor="text1"/>
                <w:szCs w:val="21"/>
              </w:rPr>
            </w:pPr>
            <w:r>
              <w:rPr>
                <w:rFonts w:ascii="宋体" w:hAnsi="宋体" w:cs="宋体" w:hint="eastAsia"/>
                <w:color w:val="000000" w:themeColor="text1"/>
                <w:szCs w:val="21"/>
              </w:rPr>
              <w:t>支持业务调试功能：可根据任务需求，在虚拟平台上完成业务调试及故障排除操作，可通过不少于六种的主流调试工具（调试工具需含ping、trace、光路检测、业务验证、告警观察、状态查询等）以及两种调试模式验证全网“设备配置”、“数据配置”的正确性，以实现工业互联网业务联调。</w:t>
            </w:r>
          </w:p>
          <w:p w:rsidR="00AE74B6" w:rsidRDefault="00AE74B6" w:rsidP="00736EC7">
            <w:pPr>
              <w:pStyle w:val="a6"/>
              <w:spacing w:after="0" w:line="360" w:lineRule="atLeast"/>
              <w:rPr>
                <w:rFonts w:ascii="宋体" w:hAnsi="宋体" w:cs="宋体"/>
                <w:color w:val="000000" w:themeColor="text1"/>
                <w:szCs w:val="21"/>
                <w:u w:val="single"/>
              </w:rPr>
            </w:pPr>
            <w:r>
              <w:rPr>
                <w:rFonts w:ascii="宋体" w:hAnsi="宋体" w:cs="宋体" w:hint="eastAsia"/>
                <w:color w:val="000000" w:themeColor="text1"/>
                <w:szCs w:val="21"/>
                <w:u w:val="single"/>
              </w:rPr>
              <w:t>4、工业互联网云平台智造云</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pStyle w:val="a6"/>
              <w:spacing w:after="0" w:line="360" w:lineRule="atLeast"/>
              <w:rPr>
                <w:rFonts w:ascii="宋体" w:hAnsi="宋体" w:cs="宋体"/>
                <w:color w:val="000000" w:themeColor="text1"/>
                <w:szCs w:val="21"/>
              </w:rPr>
            </w:pPr>
            <w:r>
              <w:rPr>
                <w:rFonts w:ascii="宋体" w:hAnsi="宋体" w:cs="宋体" w:hint="eastAsia"/>
                <w:color w:val="000000" w:themeColor="text1"/>
                <w:szCs w:val="21"/>
              </w:rPr>
              <w:t>环境管理可实现环境数据统计（温度、湿度、PM2.5、PM10、TVOC、CO2、CH2O）、环境数据可视化展示（温度、湿度、PM2.5、PM10、TVOC、CO2、CH2O）。</w:t>
            </w:r>
          </w:p>
          <w:p w:rsidR="00AE74B6" w:rsidRDefault="00AE74B6" w:rsidP="00736EC7">
            <w:pPr>
              <w:spacing w:line="360" w:lineRule="atLeast"/>
              <w:rPr>
                <w:rFonts w:ascii="宋体" w:hAnsi="宋体" w:cs="宋体"/>
                <w:color w:val="000000" w:themeColor="text1"/>
                <w:szCs w:val="21"/>
              </w:rPr>
            </w:pPr>
            <w:r>
              <w:rPr>
                <w:rFonts w:ascii="宋体" w:hAnsi="宋体" w:cs="宋体" w:hint="eastAsia"/>
                <w:color w:val="000000" w:themeColor="text1"/>
                <w:szCs w:val="21"/>
              </w:rPr>
              <w:t>能耗管理可实现能耗数据统计、能耗数据可视化展示。</w:t>
            </w:r>
          </w:p>
          <w:p w:rsidR="00AE74B6" w:rsidRDefault="00AE74B6" w:rsidP="00736EC7">
            <w:pPr>
              <w:pStyle w:val="a6"/>
              <w:spacing w:after="0" w:line="360" w:lineRule="atLeast"/>
              <w:rPr>
                <w:rFonts w:ascii="宋体" w:hAnsi="宋体" w:cs="宋体"/>
                <w:color w:val="000000" w:themeColor="text1"/>
                <w:szCs w:val="21"/>
                <w:u w:val="single"/>
              </w:rPr>
            </w:pPr>
            <w:r>
              <w:rPr>
                <w:rFonts w:ascii="宋体" w:hAnsi="宋体" w:cs="宋体" w:hint="eastAsia"/>
                <w:color w:val="000000" w:themeColor="text1"/>
                <w:szCs w:val="21"/>
                <w:u w:val="single"/>
              </w:rPr>
              <w:t>5、工业互联网云平台运维云</w:t>
            </w:r>
            <w:r>
              <w:rPr>
                <w:rFonts w:ascii="宋体" w:hAnsi="宋体" w:cs="宋体" w:hint="eastAsia"/>
                <w:b/>
                <w:bCs/>
                <w:color w:val="000000" w:themeColor="text1"/>
                <w:kern w:val="0"/>
                <w:szCs w:val="21"/>
                <w:u w:val="single"/>
              </w:rPr>
              <w:t>（1.5分，以下功能要求需全部满足，否则不得分）</w:t>
            </w:r>
          </w:p>
          <w:p w:rsidR="00AE74B6" w:rsidRDefault="00AE74B6" w:rsidP="00736EC7">
            <w:pPr>
              <w:pStyle w:val="a6"/>
              <w:spacing w:after="0" w:line="360" w:lineRule="atLeast"/>
              <w:rPr>
                <w:rFonts w:ascii="宋体" w:hAnsi="宋体" w:cs="宋体"/>
                <w:color w:val="000000" w:themeColor="text1"/>
                <w:szCs w:val="21"/>
              </w:rPr>
            </w:pPr>
            <w:r>
              <w:rPr>
                <w:rFonts w:ascii="宋体" w:hAnsi="宋体" w:cs="宋体" w:hint="eastAsia"/>
                <w:color w:val="000000" w:themeColor="text1"/>
                <w:szCs w:val="21"/>
              </w:rPr>
              <w:t>后台管理中的MDC管理可实现状态监控、状态时间轴监控、产量监控、加工时间监控、OEE监控、加工程序监控、参数监控、参数波动图监控。</w:t>
            </w:r>
          </w:p>
        </w:tc>
      </w:tr>
      <w:tr w:rsidR="00AE74B6" w:rsidTr="00736EC7">
        <w:trPr>
          <w:trHeight w:val="170"/>
          <w:jc w:val="center"/>
        </w:trPr>
        <w:tc>
          <w:tcPr>
            <w:tcW w:w="151" w:type="pct"/>
            <w:vMerge w:val="restar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3</w:t>
            </w:r>
          </w:p>
        </w:tc>
        <w:tc>
          <w:tcPr>
            <w:tcW w:w="471" w:type="pct"/>
            <w:vMerge w:val="restart"/>
            <w:tcBorders>
              <w:top w:val="single" w:sz="4" w:space="0" w:color="auto"/>
              <w:left w:val="single" w:sz="4" w:space="0" w:color="auto"/>
              <w:bottom w:val="single" w:sz="8" w:space="0" w:color="000000"/>
              <w:right w:val="single" w:sz="4" w:space="0" w:color="auto"/>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商务</w:t>
            </w:r>
          </w:p>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部分</w:t>
            </w:r>
          </w:p>
        </w:tc>
        <w:tc>
          <w:tcPr>
            <w:tcW w:w="251" w:type="pct"/>
            <w:vMerge w:val="restar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hideMark/>
          </w:tcPr>
          <w:p w:rsidR="00AE74B6" w:rsidRDefault="00AE74B6" w:rsidP="00736EC7">
            <w:pPr>
              <w:spacing w:line="360" w:lineRule="atLeast"/>
              <w:jc w:val="center"/>
              <w:rPr>
                <w:rFonts w:ascii="宋体" w:hAnsi="宋体" w:cs="宋体"/>
                <w:b/>
                <w:bCs/>
                <w:color w:val="000000" w:themeColor="text1"/>
                <w:szCs w:val="21"/>
              </w:rPr>
            </w:pPr>
            <w:r>
              <w:rPr>
                <w:rFonts w:ascii="宋体" w:hAnsi="宋体" w:cs="宋体" w:hint="eastAsia"/>
                <w:b/>
                <w:bCs/>
                <w:color w:val="000000" w:themeColor="text1"/>
                <w:szCs w:val="21"/>
              </w:rPr>
              <w:t>30</w:t>
            </w:r>
          </w:p>
        </w:tc>
        <w:tc>
          <w:tcPr>
            <w:tcW w:w="577"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hideMark/>
          </w:tcPr>
          <w:p w:rsidR="00AE74B6" w:rsidRDefault="00AE74B6" w:rsidP="00736EC7">
            <w:pPr>
              <w:spacing w:line="360" w:lineRule="atLeast"/>
              <w:jc w:val="center"/>
              <w:rPr>
                <w:rFonts w:ascii="宋体" w:hAnsi="宋体" w:cs="宋体"/>
                <w:color w:val="000000" w:themeColor="text1"/>
                <w:szCs w:val="21"/>
              </w:rPr>
            </w:pPr>
            <w:r>
              <w:rPr>
                <w:rFonts w:ascii="宋体" w:hAnsi="宋体" w:cs="宋体" w:hint="eastAsia"/>
                <w:color w:val="000000" w:themeColor="text1"/>
                <w:szCs w:val="21"/>
              </w:rPr>
              <w:t>合作</w:t>
            </w:r>
          </w:p>
          <w:p w:rsidR="00AE74B6" w:rsidRDefault="00AE74B6" w:rsidP="00736EC7">
            <w:pPr>
              <w:spacing w:line="360" w:lineRule="atLeast"/>
              <w:jc w:val="center"/>
              <w:rPr>
                <w:rFonts w:ascii="宋体" w:hAnsi="宋体" w:cs="宋体"/>
                <w:color w:val="000000" w:themeColor="text1"/>
                <w:szCs w:val="21"/>
              </w:rPr>
            </w:pPr>
            <w:r>
              <w:rPr>
                <w:rFonts w:ascii="宋体" w:hAnsi="宋体" w:cs="宋体" w:hint="eastAsia"/>
                <w:color w:val="000000" w:themeColor="text1"/>
                <w:szCs w:val="21"/>
              </w:rPr>
              <w:t>案例</w:t>
            </w:r>
          </w:p>
          <w:p w:rsidR="00AE74B6" w:rsidRDefault="00AE74B6" w:rsidP="00736EC7">
            <w:pPr>
              <w:spacing w:line="360" w:lineRule="atLeast"/>
              <w:jc w:val="center"/>
              <w:rPr>
                <w:rFonts w:ascii="宋体" w:hAnsi="宋体" w:cs="宋体"/>
                <w:color w:val="000000" w:themeColor="text1"/>
                <w:szCs w:val="21"/>
              </w:rPr>
            </w:pPr>
            <w:r>
              <w:rPr>
                <w:rFonts w:ascii="宋体" w:hAnsi="宋体" w:cs="宋体" w:hint="eastAsia"/>
                <w:color w:val="000000" w:themeColor="text1"/>
                <w:szCs w:val="21"/>
              </w:rPr>
              <w:t>（10分）</w:t>
            </w:r>
          </w:p>
        </w:tc>
        <w:tc>
          <w:tcPr>
            <w:tcW w:w="3551" w:type="pc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rsidR="00AE74B6" w:rsidRDefault="00AE74B6" w:rsidP="00736EC7">
            <w:pPr>
              <w:spacing w:line="360" w:lineRule="atLeast"/>
              <w:rPr>
                <w:rFonts w:asciiTheme="minorHAnsi" w:hAnsiTheme="minorHAnsi" w:cstheme="minorBidi"/>
                <w:color w:val="000000" w:themeColor="text1"/>
                <w:szCs w:val="24"/>
              </w:rPr>
            </w:pPr>
            <w:r>
              <w:rPr>
                <w:color w:val="000000" w:themeColor="text1"/>
              </w:rPr>
              <w:t>1</w:t>
            </w:r>
            <w:r>
              <w:rPr>
                <w:rFonts w:hint="eastAsia"/>
                <w:color w:val="000000" w:themeColor="text1"/>
              </w:rPr>
              <w:t>、投标人具有自</w:t>
            </w:r>
            <w:r>
              <w:rPr>
                <w:color w:val="000000" w:themeColor="text1"/>
              </w:rPr>
              <w:t>2017</w:t>
            </w:r>
            <w:r>
              <w:rPr>
                <w:rFonts w:hint="eastAsia"/>
                <w:color w:val="000000" w:themeColor="text1"/>
              </w:rPr>
              <w:t>年以来与其他学校合作项目设备供货案例（自动化或电子信息类专业方向），</w:t>
            </w:r>
            <w:r>
              <w:rPr>
                <w:color w:val="000000" w:themeColor="text1"/>
              </w:rPr>
              <w:t xml:space="preserve"> </w:t>
            </w:r>
            <w:r>
              <w:rPr>
                <w:rFonts w:hint="eastAsia"/>
                <w:color w:val="000000" w:themeColor="text1"/>
              </w:rPr>
              <w:t>每个案例得</w:t>
            </w:r>
            <w:r>
              <w:rPr>
                <w:color w:val="000000" w:themeColor="text1"/>
              </w:rPr>
              <w:t>1</w:t>
            </w:r>
            <w:r>
              <w:rPr>
                <w:rFonts w:hint="eastAsia"/>
                <w:color w:val="000000" w:themeColor="text1"/>
              </w:rPr>
              <w:t>分，最多</w:t>
            </w:r>
            <w:r>
              <w:rPr>
                <w:color w:val="000000" w:themeColor="text1"/>
              </w:rPr>
              <w:t>5</w:t>
            </w:r>
            <w:r>
              <w:rPr>
                <w:rFonts w:hint="eastAsia"/>
                <w:color w:val="000000" w:themeColor="text1"/>
              </w:rPr>
              <w:t>分。（提供供货合同复印件，否则不得分）</w:t>
            </w:r>
          </w:p>
          <w:p w:rsidR="00AE74B6" w:rsidRDefault="00AE74B6" w:rsidP="00736EC7">
            <w:pPr>
              <w:spacing w:line="360" w:lineRule="atLeast"/>
              <w:rPr>
                <w:color w:val="000000" w:themeColor="text1"/>
              </w:rPr>
            </w:pPr>
          </w:p>
          <w:p w:rsidR="00AE74B6" w:rsidRDefault="00AE74B6" w:rsidP="00736EC7">
            <w:pPr>
              <w:spacing w:line="360" w:lineRule="atLeast"/>
              <w:rPr>
                <w:color w:val="000000" w:themeColor="text1"/>
              </w:rPr>
            </w:pPr>
            <w:r>
              <w:rPr>
                <w:color w:val="000000" w:themeColor="text1"/>
              </w:rPr>
              <w:t>2</w:t>
            </w:r>
            <w:r>
              <w:rPr>
                <w:rFonts w:hint="eastAsia"/>
                <w:color w:val="000000" w:themeColor="text1"/>
              </w:rPr>
              <w:t>、投标人能够提供自</w:t>
            </w:r>
            <w:r>
              <w:rPr>
                <w:color w:val="000000" w:themeColor="text1"/>
              </w:rPr>
              <w:t>2017</w:t>
            </w:r>
            <w:r>
              <w:rPr>
                <w:rFonts w:hint="eastAsia"/>
                <w:color w:val="000000" w:themeColor="text1"/>
              </w:rPr>
              <w:t>年以来与其他学校开展专业技术支持服务的案例（包括：人才培养方案修订、课程开发协助、师资培训支持、就业支持等），合作每年涉及的学生数量在</w:t>
            </w:r>
            <w:r>
              <w:rPr>
                <w:color w:val="000000" w:themeColor="text1"/>
              </w:rPr>
              <w:t>100</w:t>
            </w:r>
            <w:r>
              <w:rPr>
                <w:rFonts w:hint="eastAsia"/>
                <w:color w:val="000000" w:themeColor="text1"/>
              </w:rPr>
              <w:t>人以上</w:t>
            </w:r>
            <w:proofErr w:type="gramStart"/>
            <w:r>
              <w:rPr>
                <w:rFonts w:hint="eastAsia"/>
                <w:color w:val="000000" w:themeColor="text1"/>
              </w:rPr>
              <w:t>且</w:t>
            </w:r>
            <w:r>
              <w:rPr>
                <w:rFonts w:hint="eastAsia"/>
                <w:color w:val="000000" w:themeColor="text1"/>
              </w:rPr>
              <w:lastRenderedPageBreak/>
              <w:t>合作</w:t>
            </w:r>
            <w:proofErr w:type="gramEnd"/>
            <w:r>
              <w:rPr>
                <w:rFonts w:hint="eastAsia"/>
                <w:color w:val="000000" w:themeColor="text1"/>
              </w:rPr>
              <w:t>年限不低于</w:t>
            </w:r>
            <w:r>
              <w:rPr>
                <w:color w:val="000000" w:themeColor="text1"/>
              </w:rPr>
              <w:t>5</w:t>
            </w:r>
            <w:r>
              <w:rPr>
                <w:rFonts w:hint="eastAsia"/>
                <w:color w:val="000000" w:themeColor="text1"/>
              </w:rPr>
              <w:t>年。每个合作案例得</w:t>
            </w:r>
            <w:r>
              <w:rPr>
                <w:color w:val="000000" w:themeColor="text1"/>
              </w:rPr>
              <w:t>1</w:t>
            </w:r>
            <w:r>
              <w:rPr>
                <w:rFonts w:hint="eastAsia"/>
                <w:color w:val="000000" w:themeColor="text1"/>
              </w:rPr>
              <w:t>分，最高得</w:t>
            </w:r>
            <w:r>
              <w:rPr>
                <w:color w:val="000000" w:themeColor="text1"/>
              </w:rPr>
              <w:t>5</w:t>
            </w:r>
            <w:r>
              <w:rPr>
                <w:rFonts w:hint="eastAsia"/>
                <w:color w:val="000000" w:themeColor="text1"/>
              </w:rPr>
              <w:t>分。</w:t>
            </w:r>
          </w:p>
          <w:p w:rsidR="00AE74B6" w:rsidRDefault="00AE74B6" w:rsidP="00736EC7">
            <w:pPr>
              <w:spacing w:line="360" w:lineRule="atLeast"/>
              <w:rPr>
                <w:color w:val="000000" w:themeColor="text1"/>
              </w:rPr>
            </w:pPr>
            <w:r>
              <w:rPr>
                <w:rFonts w:hint="eastAsia"/>
                <w:color w:val="000000" w:themeColor="text1"/>
              </w:rPr>
              <w:t>（提供相应的合作协议复印件，否则不得分。没有具体合作内容和金额的框架性协议不得分）</w:t>
            </w:r>
          </w:p>
        </w:tc>
      </w:tr>
      <w:tr w:rsidR="00AE74B6" w:rsidTr="00736EC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b/>
                <w:bCs/>
                <w:color w:val="000000" w:themeColor="text1"/>
                <w:szCs w:val="21"/>
              </w:rPr>
            </w:pPr>
          </w:p>
        </w:tc>
        <w:tc>
          <w:tcPr>
            <w:tcW w:w="577" w:type="pct"/>
            <w:tcBorders>
              <w:top w:val="single" w:sz="4" w:space="0" w:color="auto"/>
              <w:left w:val="nil"/>
              <w:bottom w:val="single" w:sz="4" w:space="0" w:color="auto"/>
              <w:right w:val="single" w:sz="4" w:space="0" w:color="auto"/>
            </w:tcBorders>
            <w:tcMar>
              <w:top w:w="8" w:type="dxa"/>
              <w:left w:w="8" w:type="dxa"/>
              <w:bottom w:w="0" w:type="dxa"/>
              <w:right w:w="8" w:type="dxa"/>
            </w:tcMar>
            <w:vAlign w:val="center"/>
            <w:hideMark/>
          </w:tcPr>
          <w:p w:rsidR="00AE74B6" w:rsidRDefault="00AE74B6" w:rsidP="00736EC7">
            <w:pPr>
              <w:widowControl/>
              <w:spacing w:line="360" w:lineRule="atLeast"/>
              <w:jc w:val="center"/>
              <w:textAlignment w:val="center"/>
            </w:pPr>
            <w:r>
              <w:rPr>
                <w:rFonts w:hint="eastAsia"/>
              </w:rPr>
              <w:t>企业</w:t>
            </w:r>
          </w:p>
          <w:p w:rsidR="00AE74B6" w:rsidRDefault="00AE74B6" w:rsidP="00736EC7">
            <w:pPr>
              <w:pStyle w:val="a6"/>
              <w:spacing w:after="0" w:line="360" w:lineRule="atLeast"/>
              <w:jc w:val="center"/>
            </w:pPr>
            <w:r>
              <w:rPr>
                <w:rFonts w:hint="eastAsia"/>
              </w:rPr>
              <w:t>资质</w:t>
            </w:r>
          </w:p>
          <w:p w:rsidR="00AE74B6" w:rsidRDefault="00AE74B6" w:rsidP="00736EC7">
            <w:pPr>
              <w:spacing w:line="360" w:lineRule="atLeast"/>
              <w:jc w:val="center"/>
            </w:pPr>
            <w:r>
              <w:rPr>
                <w:rFonts w:hint="eastAsia"/>
              </w:rPr>
              <w:t>（</w:t>
            </w:r>
            <w:r>
              <w:t>4</w:t>
            </w:r>
            <w:r>
              <w:rPr>
                <w:rFonts w:hint="eastAsia"/>
              </w:rPr>
              <w:t>分）</w:t>
            </w:r>
          </w:p>
        </w:tc>
        <w:tc>
          <w:tcPr>
            <w:tcW w:w="3551" w:type="pct"/>
            <w:tcBorders>
              <w:top w:val="single" w:sz="4" w:space="0" w:color="auto"/>
              <w:left w:val="single" w:sz="4" w:space="0" w:color="auto"/>
              <w:bottom w:val="single" w:sz="4" w:space="0" w:color="auto"/>
              <w:right w:val="single" w:sz="8" w:space="0" w:color="000000"/>
            </w:tcBorders>
            <w:tcMar>
              <w:top w:w="8" w:type="dxa"/>
              <w:left w:w="8" w:type="dxa"/>
              <w:bottom w:w="0" w:type="dxa"/>
              <w:right w:w="8" w:type="dxa"/>
            </w:tcMar>
            <w:vAlign w:val="center"/>
            <w:hideMark/>
          </w:tcPr>
          <w:p w:rsidR="00AE74B6" w:rsidRDefault="00AE74B6" w:rsidP="00736EC7">
            <w:pPr>
              <w:widowControl/>
              <w:spacing w:line="360" w:lineRule="atLeast"/>
              <w:jc w:val="left"/>
              <w:rPr>
                <w:szCs w:val="21"/>
              </w:rPr>
            </w:pPr>
            <w:r>
              <w:rPr>
                <w:rFonts w:ascii="宋体" w:hAnsi="宋体" w:cs="宋体" w:hint="eastAsia"/>
                <w:color w:val="000000"/>
                <w:kern w:val="0"/>
                <w:szCs w:val="21"/>
              </w:rPr>
              <w:t xml:space="preserve">1、投标人具有 ISO9001 质量管理体系认证证书，得 </w:t>
            </w:r>
            <w:r>
              <w:t>0.5</w:t>
            </w:r>
            <w:r>
              <w:rPr>
                <w:rFonts w:ascii="宋体" w:hAnsi="宋体" w:cs="宋体" w:hint="eastAsia"/>
                <w:color w:val="000000"/>
                <w:kern w:val="0"/>
                <w:szCs w:val="21"/>
              </w:rPr>
              <w:t xml:space="preserve"> 分；</w:t>
            </w:r>
          </w:p>
          <w:p w:rsidR="00AE74B6" w:rsidRDefault="00AE74B6" w:rsidP="00736EC7">
            <w:pPr>
              <w:widowControl/>
              <w:spacing w:line="360" w:lineRule="atLeast"/>
              <w:jc w:val="left"/>
              <w:rPr>
                <w:szCs w:val="21"/>
              </w:rPr>
            </w:pPr>
            <w:r>
              <w:rPr>
                <w:rFonts w:ascii="宋体" w:hAnsi="宋体" w:cs="宋体" w:hint="eastAsia"/>
                <w:color w:val="000000"/>
                <w:kern w:val="0"/>
                <w:szCs w:val="21"/>
              </w:rPr>
              <w:t>2、投标人具有环境管理体系认证证书，得</w:t>
            </w:r>
            <w:r>
              <w:t>0.5</w:t>
            </w:r>
            <w:r>
              <w:rPr>
                <w:rFonts w:ascii="宋体" w:hAnsi="宋体" w:cs="宋体" w:hint="eastAsia"/>
                <w:color w:val="000000"/>
                <w:kern w:val="0"/>
                <w:szCs w:val="21"/>
              </w:rPr>
              <w:t xml:space="preserve">分； </w:t>
            </w:r>
          </w:p>
          <w:p w:rsidR="00AE74B6" w:rsidRDefault="00AE74B6" w:rsidP="00736EC7">
            <w:pPr>
              <w:widowControl/>
              <w:spacing w:line="360" w:lineRule="atLeast"/>
              <w:jc w:val="left"/>
              <w:rPr>
                <w:szCs w:val="21"/>
              </w:rPr>
            </w:pPr>
            <w:r>
              <w:rPr>
                <w:rFonts w:ascii="宋体" w:hAnsi="宋体" w:cs="宋体" w:hint="eastAsia"/>
                <w:color w:val="000000"/>
                <w:kern w:val="0"/>
                <w:szCs w:val="21"/>
              </w:rPr>
              <w:t xml:space="preserve">3、投标人具有职业健康安全管理体系认证证书，得 </w:t>
            </w:r>
            <w:r>
              <w:t>0.5</w:t>
            </w:r>
            <w:r>
              <w:rPr>
                <w:rFonts w:ascii="宋体" w:hAnsi="宋体" w:cs="宋体" w:hint="eastAsia"/>
                <w:color w:val="000000"/>
                <w:kern w:val="0"/>
                <w:szCs w:val="21"/>
              </w:rPr>
              <w:t xml:space="preserve"> 分； </w:t>
            </w:r>
          </w:p>
          <w:p w:rsidR="00AE74B6" w:rsidRDefault="00AE74B6" w:rsidP="00736EC7">
            <w:pPr>
              <w:widowControl/>
              <w:spacing w:line="360" w:lineRule="atLeast"/>
              <w:jc w:val="left"/>
              <w:rPr>
                <w:rFonts w:ascii="宋体" w:hAnsi="宋体" w:cs="宋体"/>
                <w:color w:val="000000"/>
                <w:kern w:val="0"/>
                <w:szCs w:val="21"/>
              </w:rPr>
            </w:pPr>
            <w:r>
              <w:rPr>
                <w:rFonts w:ascii="宋体" w:hAnsi="宋体" w:cs="宋体" w:hint="eastAsia"/>
                <w:color w:val="000000"/>
                <w:kern w:val="0"/>
                <w:szCs w:val="21"/>
              </w:rPr>
              <w:t xml:space="preserve">4、投标人具有 AAA 级企业信用等级证书，得 </w:t>
            </w:r>
            <w:r>
              <w:t>0.5</w:t>
            </w:r>
            <w:r>
              <w:rPr>
                <w:rFonts w:ascii="宋体" w:hAnsi="宋体" w:cs="宋体" w:hint="eastAsia"/>
                <w:color w:val="000000"/>
                <w:kern w:val="0"/>
                <w:szCs w:val="21"/>
              </w:rPr>
              <w:t xml:space="preserve"> 分； </w:t>
            </w:r>
          </w:p>
          <w:p w:rsidR="00AE74B6" w:rsidRDefault="00AE74B6" w:rsidP="00736EC7">
            <w:pPr>
              <w:widowControl/>
              <w:spacing w:line="360" w:lineRule="atLeast"/>
              <w:jc w:val="left"/>
              <w:rPr>
                <w:rFonts w:asciiTheme="minorHAnsi" w:hAnsiTheme="minorHAnsi" w:cstheme="minorBidi"/>
                <w:szCs w:val="24"/>
              </w:rPr>
            </w:pPr>
            <w:r>
              <w:t>5</w:t>
            </w:r>
            <w:r>
              <w:rPr>
                <w:rFonts w:hint="eastAsia"/>
              </w:rPr>
              <w:t>、投标人具有人工智能系统方向相关的软件著作权证书，得</w:t>
            </w:r>
            <w:r>
              <w:t>0.5</w:t>
            </w:r>
            <w:r>
              <w:rPr>
                <w:rFonts w:hint="eastAsia"/>
              </w:rPr>
              <w:t>分；</w:t>
            </w:r>
          </w:p>
          <w:p w:rsidR="00AE74B6" w:rsidRDefault="00AE74B6" w:rsidP="00736EC7">
            <w:pPr>
              <w:widowControl/>
              <w:spacing w:line="360" w:lineRule="atLeast"/>
              <w:jc w:val="left"/>
            </w:pPr>
            <w:r>
              <w:t>6</w:t>
            </w:r>
            <w:r>
              <w:rPr>
                <w:rFonts w:hint="eastAsia"/>
              </w:rPr>
              <w:t>、投标人具有云计算系统方向相关的软件著作权证书，得</w:t>
            </w:r>
            <w:r>
              <w:t>0.5</w:t>
            </w:r>
            <w:r>
              <w:rPr>
                <w:rFonts w:hint="eastAsia"/>
              </w:rPr>
              <w:t>分；</w:t>
            </w:r>
          </w:p>
          <w:p w:rsidR="00AE74B6" w:rsidRDefault="00AE74B6" w:rsidP="00736EC7">
            <w:pPr>
              <w:widowControl/>
              <w:spacing w:line="360" w:lineRule="atLeast"/>
              <w:jc w:val="left"/>
            </w:pPr>
            <w:r>
              <w:t>7</w:t>
            </w:r>
            <w:r>
              <w:rPr>
                <w:rFonts w:hint="eastAsia"/>
              </w:rPr>
              <w:t>、投标人具有大数据相关的软件著作权证书，得</w:t>
            </w:r>
            <w:r>
              <w:t>0.5</w:t>
            </w:r>
            <w:r>
              <w:rPr>
                <w:rFonts w:hint="eastAsia"/>
              </w:rPr>
              <w:t>分；</w:t>
            </w:r>
          </w:p>
          <w:p w:rsidR="00AE74B6" w:rsidRDefault="00AE74B6" w:rsidP="00736EC7">
            <w:pPr>
              <w:widowControl/>
              <w:spacing w:line="360" w:lineRule="atLeast"/>
              <w:jc w:val="left"/>
              <w:rPr>
                <w:rFonts w:ascii="宋体" w:hAnsi="宋体" w:cs="宋体"/>
                <w:color w:val="000000"/>
                <w:kern w:val="0"/>
                <w:szCs w:val="21"/>
              </w:rPr>
            </w:pPr>
            <w:r>
              <w:t>8</w:t>
            </w:r>
            <w:r>
              <w:rPr>
                <w:rFonts w:hint="eastAsia"/>
              </w:rPr>
              <w:t>、投标人具有信息技术管理方向相关的软件著作权证书，得</w:t>
            </w:r>
            <w:r>
              <w:t>0.5</w:t>
            </w:r>
            <w:r>
              <w:rPr>
                <w:rFonts w:hint="eastAsia"/>
              </w:rPr>
              <w:t>分。</w:t>
            </w:r>
          </w:p>
          <w:p w:rsidR="00AE74B6" w:rsidRDefault="00AE74B6" w:rsidP="00736EC7">
            <w:pPr>
              <w:pStyle w:val="a6"/>
              <w:spacing w:after="0" w:line="360" w:lineRule="atLeast"/>
              <w:rPr>
                <w:rFonts w:ascii="宋体" w:hAnsi="宋体" w:cs="宋体"/>
                <w:color w:val="000000"/>
                <w:kern w:val="0"/>
                <w:szCs w:val="21"/>
              </w:rPr>
            </w:pPr>
            <w:r>
              <w:rPr>
                <w:rFonts w:ascii="宋体" w:hAnsi="宋体" w:cs="宋体" w:hint="eastAsia"/>
                <w:color w:val="000000"/>
                <w:kern w:val="0"/>
                <w:szCs w:val="21"/>
              </w:rPr>
              <w:t>（以上 1-8项均需提供资质证明复印件并加盖投标人公章，原件或公证件携带至现场备查，否则不得分）</w:t>
            </w:r>
          </w:p>
        </w:tc>
      </w:tr>
      <w:tr w:rsidR="00AE74B6" w:rsidTr="00736EC7">
        <w:trPr>
          <w:trHeight w:val="170"/>
          <w:jc w:val="center"/>
        </w:trPr>
        <w:tc>
          <w:tcPr>
            <w:tcW w:w="151" w:type="pct"/>
            <w:vMerge w:val="restart"/>
            <w:tcBorders>
              <w:top w:val="single" w:sz="4" w:space="0" w:color="auto"/>
              <w:left w:val="single" w:sz="4" w:space="0" w:color="auto"/>
              <w:bottom w:val="single" w:sz="4" w:space="0" w:color="auto"/>
              <w:right w:val="single" w:sz="4" w:space="0" w:color="auto"/>
            </w:tcBorders>
            <w:tcMar>
              <w:top w:w="8" w:type="dxa"/>
              <w:left w:w="8" w:type="dxa"/>
              <w:bottom w:w="0" w:type="dxa"/>
              <w:right w:w="8" w:type="dxa"/>
            </w:tcMar>
            <w:vAlign w:val="center"/>
          </w:tcPr>
          <w:p w:rsidR="00AE74B6" w:rsidRDefault="00AE74B6" w:rsidP="00736EC7">
            <w:pPr>
              <w:widowControl/>
              <w:spacing w:line="360" w:lineRule="atLeast"/>
              <w:jc w:val="center"/>
              <w:textAlignment w:val="center"/>
              <w:rPr>
                <w:rFonts w:ascii="宋体" w:hAnsi="宋体" w:cs="宋体"/>
                <w:color w:val="000000" w:themeColor="text1"/>
                <w:kern w:val="0"/>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251" w:type="pct"/>
            <w:vMerge w:val="restart"/>
            <w:tcBorders>
              <w:top w:val="single" w:sz="4" w:space="0" w:color="auto"/>
              <w:left w:val="nil"/>
              <w:bottom w:val="single" w:sz="8" w:space="0" w:color="000000"/>
              <w:right w:val="single" w:sz="8" w:space="0" w:color="000000"/>
            </w:tcBorders>
            <w:tcMar>
              <w:top w:w="8" w:type="dxa"/>
              <w:left w:w="8" w:type="dxa"/>
              <w:bottom w:w="0" w:type="dxa"/>
              <w:right w:w="8" w:type="dxa"/>
            </w:tcMar>
            <w:vAlign w:val="center"/>
          </w:tcPr>
          <w:p w:rsidR="00AE74B6" w:rsidRDefault="00AE74B6" w:rsidP="00736EC7">
            <w:pPr>
              <w:widowControl/>
              <w:spacing w:line="360" w:lineRule="atLeast"/>
              <w:jc w:val="center"/>
              <w:textAlignment w:val="center"/>
              <w:rPr>
                <w:rFonts w:ascii="宋体" w:hAnsi="宋体" w:cs="宋体"/>
                <w:b/>
                <w:bCs/>
                <w:color w:val="000000" w:themeColor="text1"/>
                <w:szCs w:val="21"/>
              </w:rPr>
            </w:pPr>
          </w:p>
        </w:tc>
        <w:tc>
          <w:tcPr>
            <w:tcW w:w="577" w:type="pct"/>
            <w:tcBorders>
              <w:top w:val="single" w:sz="4" w:space="0" w:color="auto"/>
              <w:left w:val="nil"/>
              <w:bottom w:val="single" w:sz="8" w:space="0" w:color="000000"/>
              <w:right w:val="single" w:sz="4" w:space="0" w:color="auto"/>
            </w:tcBorders>
            <w:tcMar>
              <w:top w:w="8" w:type="dxa"/>
              <w:left w:w="8" w:type="dxa"/>
              <w:bottom w:w="0" w:type="dxa"/>
              <w:right w:w="8" w:type="dxa"/>
            </w:tcMar>
            <w:vAlign w:val="center"/>
            <w:hideMark/>
          </w:tcPr>
          <w:p w:rsidR="00AE74B6" w:rsidRDefault="00AE74B6" w:rsidP="00736EC7">
            <w:pPr>
              <w:pStyle w:val="a6"/>
              <w:spacing w:after="0" w:line="360" w:lineRule="atLeast"/>
              <w:jc w:val="center"/>
            </w:pPr>
            <w:r>
              <w:rPr>
                <w:rFonts w:hint="eastAsia"/>
              </w:rPr>
              <w:t>投标人</w:t>
            </w:r>
          </w:p>
          <w:p w:rsidR="00AE74B6" w:rsidRDefault="00AE74B6" w:rsidP="00736EC7">
            <w:pPr>
              <w:pStyle w:val="a6"/>
              <w:spacing w:after="0" w:line="360" w:lineRule="atLeast"/>
              <w:jc w:val="center"/>
            </w:pPr>
            <w:r>
              <w:rPr>
                <w:rFonts w:hint="eastAsia"/>
              </w:rPr>
              <w:t>实力</w:t>
            </w:r>
          </w:p>
          <w:p w:rsidR="00AE74B6" w:rsidRDefault="00AE74B6" w:rsidP="00736EC7">
            <w:pPr>
              <w:spacing w:line="360" w:lineRule="atLeast"/>
              <w:jc w:val="center"/>
            </w:pPr>
            <w:r>
              <w:rPr>
                <w:rFonts w:ascii="宋体" w:hAnsi="宋体" w:cs="宋体" w:hint="eastAsia"/>
                <w:color w:val="000000" w:themeColor="text1"/>
                <w:kern w:val="0"/>
                <w:szCs w:val="21"/>
              </w:rPr>
              <w:t>（12分）</w:t>
            </w:r>
          </w:p>
        </w:tc>
        <w:tc>
          <w:tcPr>
            <w:tcW w:w="3551" w:type="pct"/>
            <w:tcBorders>
              <w:top w:val="single" w:sz="4" w:space="0" w:color="auto"/>
              <w:left w:val="single" w:sz="4" w:space="0" w:color="auto"/>
              <w:bottom w:val="single" w:sz="8" w:space="0" w:color="000000"/>
              <w:right w:val="single" w:sz="8" w:space="0" w:color="000000"/>
            </w:tcBorders>
            <w:tcMar>
              <w:top w:w="8" w:type="dxa"/>
              <w:left w:w="8" w:type="dxa"/>
              <w:bottom w:w="0" w:type="dxa"/>
              <w:right w:w="8" w:type="dxa"/>
            </w:tcMar>
            <w:vAlign w:val="center"/>
          </w:tcPr>
          <w:p w:rsidR="00AE74B6" w:rsidRDefault="00AE74B6" w:rsidP="00736EC7">
            <w:pPr>
              <w:widowControl/>
              <w:spacing w:line="360" w:lineRule="atLeast"/>
              <w:jc w:val="left"/>
              <w:rPr>
                <w:rFonts w:ascii="宋体" w:hAnsi="宋体" w:cs="宋体"/>
                <w:color w:val="000000"/>
                <w:kern w:val="0"/>
                <w:szCs w:val="21"/>
              </w:rPr>
            </w:pPr>
          </w:p>
          <w:p w:rsidR="00AE74B6" w:rsidRDefault="00AE74B6" w:rsidP="00736EC7">
            <w:pPr>
              <w:widowControl/>
              <w:spacing w:line="360" w:lineRule="atLeast"/>
              <w:jc w:val="left"/>
              <w:rPr>
                <w:rFonts w:ascii="宋体" w:hAnsi="宋体" w:cs="宋体"/>
                <w:color w:val="000000"/>
                <w:kern w:val="0"/>
                <w:szCs w:val="21"/>
              </w:rPr>
            </w:pPr>
            <w:r>
              <w:rPr>
                <w:rFonts w:ascii="宋体" w:hAnsi="宋体" w:cs="宋体" w:hint="eastAsia"/>
                <w:color w:val="000000"/>
                <w:kern w:val="0"/>
                <w:szCs w:val="21"/>
              </w:rPr>
              <w:t>1、投标人曾参与过自动化或电子信息类专业的国家教学资源库建设项目，</w:t>
            </w:r>
            <w:proofErr w:type="gramStart"/>
            <w:r>
              <w:rPr>
                <w:rFonts w:ascii="宋体" w:hAnsi="宋体" w:cs="宋体" w:hint="eastAsia"/>
                <w:color w:val="000000"/>
                <w:kern w:val="0"/>
                <w:szCs w:val="21"/>
              </w:rPr>
              <w:t>每参与</w:t>
            </w:r>
            <w:proofErr w:type="gramEnd"/>
            <w:r>
              <w:rPr>
                <w:rFonts w:ascii="宋体" w:hAnsi="宋体" w:cs="宋体" w:hint="eastAsia"/>
                <w:color w:val="000000"/>
                <w:kern w:val="0"/>
                <w:szCs w:val="21"/>
              </w:rPr>
              <w:t>并完成 1 个子项目或课题得 2 分，最多得 6 分。（</w:t>
            </w:r>
            <w:r>
              <w:rPr>
                <w:rFonts w:asciiTheme="majorEastAsia" w:eastAsiaTheme="majorEastAsia" w:hAnsiTheme="majorEastAsia" w:cs="宋体" w:hint="eastAsia"/>
                <w:color w:val="000000" w:themeColor="text1"/>
                <w:kern w:val="0"/>
                <w:szCs w:val="21"/>
              </w:rPr>
              <w:t>投标文件提供相关证明材料复印件，证明材料原件或公证件携带至现场备查。提供</w:t>
            </w:r>
            <w:r>
              <w:rPr>
                <w:rFonts w:ascii="宋体" w:hAnsi="宋体" w:cs="宋体" w:hint="eastAsia"/>
                <w:color w:val="000000"/>
                <w:kern w:val="0"/>
                <w:szCs w:val="21"/>
              </w:rPr>
              <w:t xml:space="preserve">相关人员近三个月的社保缴纳证明复印件，加盖投标人公章，否则不得分） </w:t>
            </w:r>
          </w:p>
          <w:p w:rsidR="00AE74B6" w:rsidRDefault="00AE74B6" w:rsidP="00736EC7">
            <w:pPr>
              <w:widowControl/>
              <w:spacing w:line="360" w:lineRule="atLeast"/>
              <w:jc w:val="left"/>
              <w:rPr>
                <w:rFonts w:ascii="宋体" w:hAnsi="宋体" w:cs="宋体"/>
                <w:color w:val="000000"/>
                <w:kern w:val="0"/>
                <w:szCs w:val="21"/>
              </w:rPr>
            </w:pPr>
          </w:p>
          <w:p w:rsidR="00AE74B6" w:rsidRDefault="00AE74B6" w:rsidP="00736EC7">
            <w:pPr>
              <w:spacing w:line="360" w:lineRule="atLeast"/>
              <w:rPr>
                <w:rFonts w:asciiTheme="minorHAnsi" w:hAnsiTheme="minorHAnsi" w:cstheme="minorBidi"/>
                <w:szCs w:val="24"/>
              </w:rPr>
            </w:pPr>
            <w:r>
              <w:t>2</w:t>
            </w:r>
            <w:r>
              <w:rPr>
                <w:rFonts w:hint="eastAsia"/>
              </w:rPr>
              <w:t>、投标人有丰富的教学资源开发经验，单位员工主持过自动化或电子信息类公开出版物编写（投标人单位员工需为主编）。每个公开出版物得</w:t>
            </w:r>
            <w:r>
              <w:t>1</w:t>
            </w:r>
            <w:r>
              <w:rPr>
                <w:rFonts w:hint="eastAsia"/>
              </w:rPr>
              <w:t>分，最多得</w:t>
            </w:r>
            <w:r>
              <w:t>6</w:t>
            </w:r>
            <w:r>
              <w:rPr>
                <w:rFonts w:hint="eastAsia"/>
              </w:rPr>
              <w:t>分。（需提供相应公开出版物的证明材料，相应出版物原件或公证件携带至现场备查。提供相关人员近三个月的社保缴纳证明复印件，加盖投标人公章，否则不得分）</w:t>
            </w:r>
          </w:p>
          <w:p w:rsidR="00AE74B6" w:rsidRDefault="00AE74B6" w:rsidP="00736EC7">
            <w:pPr>
              <w:spacing w:line="360" w:lineRule="atLeast"/>
              <w:rPr>
                <w:rFonts w:ascii="宋体" w:hAnsi="宋体" w:cs="宋体"/>
                <w:color w:val="000000"/>
                <w:kern w:val="0"/>
                <w:szCs w:val="21"/>
              </w:rPr>
            </w:pPr>
            <w:r>
              <w:rPr>
                <w:rFonts w:ascii="宋体" w:hAnsi="宋体" w:cs="宋体" w:hint="eastAsia"/>
                <w:color w:val="000000"/>
                <w:kern w:val="0"/>
                <w:szCs w:val="21"/>
              </w:rPr>
              <w:t xml:space="preserve"> </w:t>
            </w:r>
          </w:p>
        </w:tc>
      </w:tr>
      <w:tr w:rsidR="00AE74B6" w:rsidTr="00736EC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AE74B6" w:rsidRDefault="00AE74B6" w:rsidP="00736EC7">
            <w:pPr>
              <w:widowControl/>
              <w:spacing w:line="360" w:lineRule="atLeast"/>
              <w:jc w:val="left"/>
              <w:rPr>
                <w:rFonts w:ascii="宋体" w:eastAsiaTheme="minorEastAsia" w:hAnsi="宋体" w:cs="宋体"/>
                <w:color w:val="000000" w:themeColor="text1"/>
                <w:kern w:val="0"/>
                <w:szCs w:val="21"/>
              </w:rPr>
            </w:pPr>
          </w:p>
        </w:tc>
        <w:tc>
          <w:tcPr>
            <w:tcW w:w="0" w:type="auto"/>
            <w:vMerge/>
            <w:tcBorders>
              <w:top w:val="single" w:sz="4" w:space="0" w:color="auto"/>
              <w:left w:val="nil"/>
              <w:bottom w:val="single" w:sz="8" w:space="0" w:color="000000"/>
              <w:right w:val="single" w:sz="8" w:space="0" w:color="000000"/>
            </w:tcBorders>
            <w:vAlign w:val="center"/>
            <w:hideMark/>
          </w:tcPr>
          <w:p w:rsidR="00AE74B6" w:rsidRDefault="00AE74B6" w:rsidP="00736EC7">
            <w:pPr>
              <w:widowControl/>
              <w:spacing w:line="360" w:lineRule="atLeast"/>
              <w:jc w:val="left"/>
              <w:rPr>
                <w:rFonts w:ascii="宋体" w:eastAsiaTheme="minorEastAsia" w:hAnsi="宋体" w:cs="宋体"/>
                <w:b/>
                <w:bCs/>
                <w:color w:val="000000" w:themeColor="text1"/>
                <w:szCs w:val="21"/>
              </w:rPr>
            </w:pPr>
          </w:p>
        </w:tc>
        <w:tc>
          <w:tcPr>
            <w:tcW w:w="577" w:type="pct"/>
            <w:tcBorders>
              <w:top w:val="nil"/>
              <w:left w:val="nil"/>
              <w:bottom w:val="single" w:sz="8" w:space="0" w:color="000000"/>
              <w:right w:val="single" w:sz="4" w:space="0" w:color="auto"/>
            </w:tcBorders>
            <w:tcMar>
              <w:top w:w="8" w:type="dxa"/>
              <w:left w:w="8" w:type="dxa"/>
              <w:bottom w:w="0" w:type="dxa"/>
              <w:right w:w="8" w:type="dxa"/>
            </w:tcMar>
            <w:vAlign w:val="center"/>
          </w:tcPr>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售后</w:t>
            </w:r>
          </w:p>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服务</w:t>
            </w:r>
          </w:p>
          <w:p w:rsidR="00AE74B6" w:rsidRDefault="00AE74B6" w:rsidP="00736EC7">
            <w:pPr>
              <w:widowControl/>
              <w:spacing w:line="360" w:lineRule="atLeast"/>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（4分）</w:t>
            </w:r>
          </w:p>
          <w:p w:rsidR="00AE74B6" w:rsidRDefault="00AE74B6" w:rsidP="00736EC7">
            <w:pPr>
              <w:spacing w:line="360" w:lineRule="atLeast"/>
              <w:jc w:val="center"/>
              <w:rPr>
                <w:rFonts w:asciiTheme="minorHAnsi" w:hAnsiTheme="minorHAnsi" w:cstheme="minorBidi"/>
                <w:szCs w:val="24"/>
              </w:rPr>
            </w:pPr>
          </w:p>
        </w:tc>
        <w:tc>
          <w:tcPr>
            <w:tcW w:w="3551" w:type="pct"/>
            <w:tcBorders>
              <w:top w:val="nil"/>
              <w:left w:val="single" w:sz="4" w:space="0" w:color="auto"/>
              <w:bottom w:val="single" w:sz="8" w:space="0" w:color="000000"/>
              <w:right w:val="single" w:sz="8" w:space="0" w:color="000000"/>
            </w:tcBorders>
            <w:tcMar>
              <w:top w:w="8" w:type="dxa"/>
              <w:left w:w="8" w:type="dxa"/>
              <w:bottom w:w="0" w:type="dxa"/>
              <w:right w:w="8" w:type="dxa"/>
            </w:tcMar>
            <w:vAlign w:val="center"/>
          </w:tcPr>
          <w:p w:rsidR="00AE74B6" w:rsidRDefault="00AE74B6" w:rsidP="00736EC7">
            <w:pPr>
              <w:spacing w:line="360" w:lineRule="atLeast"/>
            </w:pPr>
          </w:p>
          <w:p w:rsidR="00AE74B6" w:rsidRDefault="00AE74B6" w:rsidP="00736EC7">
            <w:pPr>
              <w:spacing w:line="360" w:lineRule="atLeast"/>
            </w:pPr>
            <w:r>
              <w:rPr>
                <w:rFonts w:hint="eastAsia"/>
              </w:rPr>
              <w:t>投标人需提供完整详细的售后服务的内容、形式、解决质量或操作问题的响应时间、解决问题时间、单位名称、地点、维修技术人员情况（包括职称与经验情况介绍）：</w:t>
            </w:r>
          </w:p>
          <w:p w:rsidR="00AE74B6" w:rsidRDefault="00AE74B6" w:rsidP="00736EC7">
            <w:pPr>
              <w:spacing w:line="360" w:lineRule="atLeast"/>
            </w:pPr>
          </w:p>
          <w:p w:rsidR="00AE74B6" w:rsidRDefault="00AE74B6" w:rsidP="00736EC7">
            <w:pPr>
              <w:numPr>
                <w:ilvl w:val="0"/>
                <w:numId w:val="14"/>
              </w:numPr>
              <w:spacing w:line="360" w:lineRule="atLeast"/>
            </w:pPr>
            <w:r>
              <w:rPr>
                <w:rFonts w:hint="eastAsia"/>
              </w:rPr>
              <w:t>投标单位须及时响应客户，主动上门服务，快速处理设备问题，自接到用户对产品疑问后，</w:t>
            </w:r>
            <w:r>
              <w:t>2</w:t>
            </w:r>
            <w:r>
              <w:rPr>
                <w:rFonts w:hint="eastAsia"/>
              </w:rPr>
              <w:t>小时内响应，</w:t>
            </w:r>
            <w:r>
              <w:t>48</w:t>
            </w:r>
            <w:r>
              <w:rPr>
                <w:rFonts w:hint="eastAsia"/>
              </w:rPr>
              <w:t>小时内到达用户现场并解决问题，得</w:t>
            </w:r>
            <w:r>
              <w:t>1</w:t>
            </w:r>
            <w:r>
              <w:rPr>
                <w:rFonts w:hint="eastAsia"/>
              </w:rPr>
              <w:t>分。</w:t>
            </w:r>
          </w:p>
          <w:p w:rsidR="00AE74B6" w:rsidRDefault="00AE74B6" w:rsidP="00736EC7">
            <w:pPr>
              <w:spacing w:line="360" w:lineRule="atLeast"/>
            </w:pPr>
          </w:p>
          <w:p w:rsidR="00AE74B6" w:rsidRDefault="00AE74B6" w:rsidP="00736EC7">
            <w:pPr>
              <w:numPr>
                <w:ilvl w:val="0"/>
                <w:numId w:val="14"/>
              </w:numPr>
              <w:spacing w:line="360" w:lineRule="atLeast"/>
            </w:pPr>
            <w:r>
              <w:rPr>
                <w:rFonts w:hint="eastAsia"/>
              </w:rPr>
              <w:lastRenderedPageBreak/>
              <w:t>售后服务团队人数不少于</w:t>
            </w:r>
            <w:r>
              <w:t>6</w:t>
            </w:r>
            <w:r>
              <w:rPr>
                <w:rFonts w:hint="eastAsia"/>
              </w:rPr>
              <w:t>人，得</w:t>
            </w:r>
            <w:r>
              <w:t>1</w:t>
            </w:r>
            <w:r>
              <w:rPr>
                <w:rFonts w:hint="eastAsia"/>
              </w:rPr>
              <w:t>分。</w:t>
            </w:r>
          </w:p>
          <w:p w:rsidR="00AE74B6" w:rsidRDefault="00AE74B6" w:rsidP="00736EC7">
            <w:pPr>
              <w:spacing w:line="360" w:lineRule="atLeast"/>
            </w:pPr>
          </w:p>
          <w:p w:rsidR="00AE74B6" w:rsidRDefault="00AE74B6" w:rsidP="00736EC7">
            <w:pPr>
              <w:numPr>
                <w:ilvl w:val="0"/>
                <w:numId w:val="14"/>
              </w:numPr>
              <w:spacing w:line="360" w:lineRule="atLeast"/>
            </w:pPr>
            <w:r>
              <w:rPr>
                <w:rFonts w:hint="eastAsia"/>
              </w:rPr>
              <w:t>免费为学校提供三名以上技术人员培训，得</w:t>
            </w:r>
            <w:r>
              <w:t>2</w:t>
            </w:r>
            <w:r>
              <w:rPr>
                <w:rFonts w:hint="eastAsia"/>
              </w:rPr>
              <w:t>分。</w:t>
            </w:r>
          </w:p>
          <w:p w:rsidR="00AE74B6" w:rsidRDefault="00AE74B6" w:rsidP="00736EC7">
            <w:pPr>
              <w:spacing w:line="360" w:lineRule="atLeast"/>
            </w:pPr>
          </w:p>
        </w:tc>
      </w:tr>
    </w:tbl>
    <w:p w:rsidR="00B93CC7" w:rsidRPr="00AE74B6" w:rsidRDefault="00AE74B6">
      <w:bookmarkStart w:id="0" w:name="_GoBack"/>
      <w:bookmarkEnd w:id="0"/>
    </w:p>
    <w:sectPr w:rsidR="00B93CC7" w:rsidRPr="00AE7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EE82DD"/>
    <w:multiLevelType w:val="singleLevel"/>
    <w:tmpl w:val="A0EE82DD"/>
    <w:lvl w:ilvl="0">
      <w:start w:val="1"/>
      <w:numFmt w:val="decimal"/>
      <w:suff w:val="nothing"/>
      <w:lvlText w:val="%1）"/>
      <w:lvlJc w:val="left"/>
    </w:lvl>
  </w:abstractNum>
  <w:abstractNum w:abstractNumId="1">
    <w:nsid w:val="B881A527"/>
    <w:multiLevelType w:val="singleLevel"/>
    <w:tmpl w:val="B881A527"/>
    <w:lvl w:ilvl="0">
      <w:start w:val="1"/>
      <w:numFmt w:val="decimal"/>
      <w:suff w:val="nothing"/>
      <w:lvlText w:val="%1）"/>
      <w:lvlJc w:val="left"/>
    </w:lvl>
  </w:abstractNum>
  <w:abstractNum w:abstractNumId="2">
    <w:nsid w:val="D7C16DE9"/>
    <w:multiLevelType w:val="singleLevel"/>
    <w:tmpl w:val="D7C16DE9"/>
    <w:lvl w:ilvl="0">
      <w:start w:val="1"/>
      <w:numFmt w:val="decimal"/>
      <w:suff w:val="nothing"/>
      <w:lvlText w:val="%1、"/>
      <w:lvlJc w:val="left"/>
    </w:lvl>
  </w:abstractNum>
  <w:abstractNum w:abstractNumId="3">
    <w:nsid w:val="D9976F9C"/>
    <w:multiLevelType w:val="singleLevel"/>
    <w:tmpl w:val="D9976F9C"/>
    <w:lvl w:ilvl="0">
      <w:start w:val="2"/>
      <w:numFmt w:val="decimal"/>
      <w:suff w:val="nothing"/>
      <w:lvlText w:val="%1、"/>
      <w:lvlJc w:val="left"/>
    </w:lvl>
  </w:abstractNum>
  <w:abstractNum w:abstractNumId="4">
    <w:nsid w:val="0530296A"/>
    <w:multiLevelType w:val="multilevel"/>
    <w:tmpl w:val="0530296A"/>
    <w:lvl w:ilvl="0">
      <w:start w:val="2"/>
      <w:numFmt w:val="decimal"/>
      <w:lvlText w:val="%1"/>
      <w:lvlJc w:val="left"/>
      <w:pPr>
        <w:ind w:left="360" w:hanging="360"/>
      </w:pPr>
      <w:rPr>
        <w:rFonts w:ascii="微软雅黑" w:hAnsi="微软雅黑" w:cs="宋体"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BE61CC1"/>
    <w:multiLevelType w:val="multilevel"/>
    <w:tmpl w:val="0BE61CC1"/>
    <w:lvl w:ilvl="0">
      <w:start w:val="1"/>
      <w:numFmt w:val="japaneseCounting"/>
      <w:lvlText w:val="%1、"/>
      <w:lvlJc w:val="left"/>
      <w:pPr>
        <w:ind w:left="674" w:hanging="525"/>
      </w:pPr>
      <w:rPr>
        <w:rFonts w:hint="default"/>
      </w:rPr>
    </w:lvl>
    <w:lvl w:ilvl="1">
      <w:start w:val="1"/>
      <w:numFmt w:val="lowerLetter"/>
      <w:lvlText w:val="%2)"/>
      <w:lvlJc w:val="left"/>
      <w:pPr>
        <w:ind w:left="989" w:hanging="420"/>
      </w:pPr>
    </w:lvl>
    <w:lvl w:ilvl="2">
      <w:start w:val="1"/>
      <w:numFmt w:val="lowerRoman"/>
      <w:lvlText w:val="%3."/>
      <w:lvlJc w:val="right"/>
      <w:pPr>
        <w:ind w:left="1409" w:hanging="420"/>
      </w:pPr>
    </w:lvl>
    <w:lvl w:ilvl="3">
      <w:start w:val="1"/>
      <w:numFmt w:val="decimal"/>
      <w:lvlText w:val="%4."/>
      <w:lvlJc w:val="left"/>
      <w:pPr>
        <w:ind w:left="1829" w:hanging="420"/>
      </w:pPr>
    </w:lvl>
    <w:lvl w:ilvl="4">
      <w:start w:val="1"/>
      <w:numFmt w:val="lowerLetter"/>
      <w:lvlText w:val="%5)"/>
      <w:lvlJc w:val="left"/>
      <w:pPr>
        <w:ind w:left="2249" w:hanging="420"/>
      </w:pPr>
    </w:lvl>
    <w:lvl w:ilvl="5">
      <w:start w:val="1"/>
      <w:numFmt w:val="lowerRoman"/>
      <w:lvlText w:val="%6."/>
      <w:lvlJc w:val="right"/>
      <w:pPr>
        <w:ind w:left="2669" w:hanging="420"/>
      </w:pPr>
    </w:lvl>
    <w:lvl w:ilvl="6">
      <w:start w:val="1"/>
      <w:numFmt w:val="decimal"/>
      <w:lvlText w:val="%7."/>
      <w:lvlJc w:val="left"/>
      <w:pPr>
        <w:ind w:left="3089" w:hanging="420"/>
      </w:pPr>
    </w:lvl>
    <w:lvl w:ilvl="7">
      <w:start w:val="1"/>
      <w:numFmt w:val="lowerLetter"/>
      <w:lvlText w:val="%8)"/>
      <w:lvlJc w:val="left"/>
      <w:pPr>
        <w:ind w:left="3509" w:hanging="420"/>
      </w:pPr>
    </w:lvl>
    <w:lvl w:ilvl="8">
      <w:start w:val="1"/>
      <w:numFmt w:val="lowerRoman"/>
      <w:lvlText w:val="%9."/>
      <w:lvlJc w:val="right"/>
      <w:pPr>
        <w:ind w:left="3929" w:hanging="420"/>
      </w:pPr>
    </w:lvl>
  </w:abstractNum>
  <w:abstractNum w:abstractNumId="6">
    <w:nsid w:val="26AC1B48"/>
    <w:multiLevelType w:val="singleLevel"/>
    <w:tmpl w:val="26AC1B48"/>
    <w:lvl w:ilvl="0">
      <w:start w:val="1"/>
      <w:numFmt w:val="decimal"/>
      <w:suff w:val="nothing"/>
      <w:lvlText w:val="%1、"/>
      <w:lvlJc w:val="left"/>
    </w:lvl>
  </w:abstractNum>
  <w:abstractNum w:abstractNumId="7">
    <w:nsid w:val="27477173"/>
    <w:multiLevelType w:val="singleLevel"/>
    <w:tmpl w:val="27477173"/>
    <w:lvl w:ilvl="0">
      <w:start w:val="1"/>
      <w:numFmt w:val="decimal"/>
      <w:lvlText w:val="%1."/>
      <w:lvlJc w:val="left"/>
      <w:pPr>
        <w:tabs>
          <w:tab w:val="left" w:pos="312"/>
        </w:tabs>
      </w:pPr>
    </w:lvl>
  </w:abstractNum>
  <w:abstractNum w:abstractNumId="8">
    <w:nsid w:val="2DDED9DC"/>
    <w:multiLevelType w:val="singleLevel"/>
    <w:tmpl w:val="2DDED9DC"/>
    <w:lvl w:ilvl="0">
      <w:start w:val="8"/>
      <w:numFmt w:val="chineseCounting"/>
      <w:suff w:val="nothing"/>
      <w:lvlText w:val="%1、"/>
      <w:lvlJc w:val="left"/>
      <w:rPr>
        <w:rFonts w:hint="eastAsia"/>
      </w:rPr>
    </w:lvl>
  </w:abstractNum>
  <w:abstractNum w:abstractNumId="9">
    <w:nsid w:val="41CB47BC"/>
    <w:multiLevelType w:val="multilevel"/>
    <w:tmpl w:val="41CB47BC"/>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9403A50"/>
    <w:multiLevelType w:val="multilevel"/>
    <w:tmpl w:val="59403A50"/>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4C044EE"/>
    <w:multiLevelType w:val="multilevel"/>
    <w:tmpl w:val="74C044E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7"/>
  </w:num>
  <w:num w:numId="3">
    <w:abstractNumId w:val="8"/>
  </w:num>
  <w:num w:numId="4">
    <w:abstractNumId w:val="5"/>
  </w:num>
  <w:num w:numId="5">
    <w:abstractNumId w:val="2"/>
  </w:num>
  <w:num w:numId="6">
    <w:abstractNumId w:val="9"/>
  </w:num>
  <w:num w:numId="7">
    <w:abstractNumId w:val="10"/>
  </w:num>
  <w:num w:numId="8">
    <w:abstractNumId w:val="4"/>
  </w:num>
  <w:num w:numId="9">
    <w:abstractNumId w:val="3"/>
  </w:num>
  <w:num w:numId="10">
    <w:abstractNumId w:val="0"/>
  </w:num>
  <w:num w:numId="11">
    <w:abstractNumId w:val="6"/>
  </w:num>
  <w:num w:numId="12">
    <w:abstractNumId w:val="1"/>
  </w:num>
  <w:num w:numId="13">
    <w:abstractNumId w:val="6"/>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2A"/>
    <w:rsid w:val="0069092A"/>
    <w:rsid w:val="00727D10"/>
    <w:rsid w:val="00AE74B6"/>
    <w:rsid w:val="00BC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EF85B-608B-433F-B469-10BED90D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2A"/>
    <w:pPr>
      <w:widowControl w:val="0"/>
      <w:jc w:val="both"/>
    </w:pPr>
    <w:rPr>
      <w:rFonts w:ascii="Times New Roman" w:eastAsia="宋体" w:hAnsi="Times New Roman" w:cs="Times New Roman"/>
      <w:szCs w:val="20"/>
    </w:rPr>
  </w:style>
  <w:style w:type="paragraph" w:styleId="1">
    <w:name w:val="heading 1"/>
    <w:next w:val="a"/>
    <w:link w:val="1Char"/>
    <w:qFormat/>
    <w:rsid w:val="0069092A"/>
    <w:pPr>
      <w:keepNext/>
      <w:jc w:val="center"/>
      <w:outlineLvl w:val="0"/>
    </w:pPr>
    <w:rPr>
      <w:rFonts w:ascii="黑体" w:eastAsia="宋体" w:hAnsi="Times New Roman" w:cs="Times New Roman"/>
      <w:b/>
      <w:sz w:val="32"/>
      <w:szCs w:val="24"/>
    </w:rPr>
  </w:style>
  <w:style w:type="paragraph" w:styleId="2">
    <w:name w:val="heading 2"/>
    <w:basedOn w:val="a"/>
    <w:next w:val="a"/>
    <w:link w:val="2Char"/>
    <w:qFormat/>
    <w:rsid w:val="0069092A"/>
    <w:pPr>
      <w:keepNext/>
      <w:keepLines/>
      <w:spacing w:before="260" w:after="260" w:line="415" w:lineRule="auto"/>
      <w:outlineLvl w:val="1"/>
    </w:pPr>
    <w:rPr>
      <w:rFonts w:ascii="Arial" w:eastAsiaTheme="majorEastAsia" w:hAnsi="Arial"/>
      <w:b/>
      <w:sz w:val="28"/>
    </w:rPr>
  </w:style>
  <w:style w:type="paragraph" w:styleId="3">
    <w:name w:val="heading 3"/>
    <w:basedOn w:val="a"/>
    <w:next w:val="a"/>
    <w:link w:val="3Char"/>
    <w:qFormat/>
    <w:rsid w:val="0069092A"/>
    <w:pPr>
      <w:keepNext/>
      <w:keepLines/>
      <w:spacing w:before="260" w:after="260" w:line="415" w:lineRule="auto"/>
      <w:outlineLvl w:val="2"/>
    </w:pPr>
    <w:rPr>
      <w:b/>
      <w:sz w:val="32"/>
    </w:rPr>
  </w:style>
  <w:style w:type="paragraph" w:styleId="4">
    <w:name w:val="heading 4"/>
    <w:basedOn w:val="a"/>
    <w:next w:val="a"/>
    <w:link w:val="4Char"/>
    <w:unhideWhenUsed/>
    <w:qFormat/>
    <w:rsid w:val="0069092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9092A"/>
    <w:rPr>
      <w:rFonts w:ascii="黑体" w:eastAsia="宋体" w:hAnsi="Times New Roman" w:cs="Times New Roman"/>
      <w:b/>
      <w:sz w:val="32"/>
      <w:szCs w:val="24"/>
    </w:rPr>
  </w:style>
  <w:style w:type="character" w:customStyle="1" w:styleId="2Char">
    <w:name w:val="标题 2 Char"/>
    <w:basedOn w:val="a0"/>
    <w:link w:val="2"/>
    <w:qFormat/>
    <w:rsid w:val="0069092A"/>
    <w:rPr>
      <w:rFonts w:ascii="Arial" w:eastAsiaTheme="majorEastAsia" w:hAnsi="Arial" w:cs="Times New Roman"/>
      <w:b/>
      <w:sz w:val="28"/>
      <w:szCs w:val="20"/>
    </w:rPr>
  </w:style>
  <w:style w:type="character" w:customStyle="1" w:styleId="3Char">
    <w:name w:val="标题 3 Char"/>
    <w:basedOn w:val="a0"/>
    <w:link w:val="3"/>
    <w:qFormat/>
    <w:rsid w:val="0069092A"/>
    <w:rPr>
      <w:rFonts w:ascii="Times New Roman" w:eastAsia="宋体" w:hAnsi="Times New Roman" w:cs="Times New Roman"/>
      <w:b/>
      <w:sz w:val="32"/>
      <w:szCs w:val="20"/>
    </w:rPr>
  </w:style>
  <w:style w:type="character" w:customStyle="1" w:styleId="4Char">
    <w:name w:val="标题 4 Char"/>
    <w:basedOn w:val="a0"/>
    <w:link w:val="4"/>
    <w:qFormat/>
    <w:rsid w:val="0069092A"/>
    <w:rPr>
      <w:rFonts w:asciiTheme="majorHAnsi" w:eastAsiaTheme="majorEastAsia" w:hAnsiTheme="majorHAnsi" w:cstheme="majorBidi"/>
      <w:b/>
      <w:bCs/>
      <w:sz w:val="28"/>
      <w:szCs w:val="28"/>
    </w:rPr>
  </w:style>
  <w:style w:type="paragraph" w:styleId="a3">
    <w:name w:val="Normal Indent"/>
    <w:basedOn w:val="a"/>
    <w:next w:val="a"/>
    <w:link w:val="Char"/>
    <w:uiPriority w:val="99"/>
    <w:qFormat/>
    <w:rsid w:val="0069092A"/>
    <w:pPr>
      <w:autoSpaceDE w:val="0"/>
      <w:autoSpaceDN w:val="0"/>
      <w:adjustRightInd w:val="0"/>
      <w:ind w:firstLine="420"/>
    </w:pPr>
    <w:rPr>
      <w:rFonts w:ascii="宋体"/>
      <w:sz w:val="24"/>
    </w:rPr>
  </w:style>
  <w:style w:type="character" w:customStyle="1" w:styleId="Char">
    <w:name w:val="正文缩进 Char"/>
    <w:link w:val="a3"/>
    <w:uiPriority w:val="99"/>
    <w:qFormat/>
    <w:rsid w:val="0069092A"/>
    <w:rPr>
      <w:rFonts w:ascii="宋体" w:eastAsia="宋体" w:hAnsi="Times New Roman" w:cs="Times New Roman"/>
      <w:sz w:val="24"/>
      <w:szCs w:val="20"/>
    </w:rPr>
  </w:style>
  <w:style w:type="paragraph" w:styleId="a4">
    <w:name w:val="Document Map"/>
    <w:basedOn w:val="a"/>
    <w:link w:val="Char1"/>
    <w:uiPriority w:val="99"/>
    <w:unhideWhenUsed/>
    <w:qFormat/>
    <w:rsid w:val="0069092A"/>
    <w:rPr>
      <w:rFonts w:ascii="宋体" w:hAnsiTheme="minorHAnsi" w:cstheme="minorBidi"/>
      <w:sz w:val="18"/>
      <w:szCs w:val="18"/>
    </w:rPr>
  </w:style>
  <w:style w:type="character" w:customStyle="1" w:styleId="Char0">
    <w:name w:val="文档结构图 Char"/>
    <w:basedOn w:val="a0"/>
    <w:uiPriority w:val="99"/>
    <w:qFormat/>
    <w:rsid w:val="0069092A"/>
    <w:rPr>
      <w:rFonts w:ascii="Microsoft YaHei UI" w:eastAsia="Microsoft YaHei UI" w:hAnsi="Times New Roman" w:cs="Times New Roman"/>
      <w:sz w:val="18"/>
      <w:szCs w:val="18"/>
    </w:rPr>
  </w:style>
  <w:style w:type="character" w:customStyle="1" w:styleId="Char1">
    <w:name w:val="文档结构图 Char1"/>
    <w:basedOn w:val="a0"/>
    <w:link w:val="a4"/>
    <w:uiPriority w:val="99"/>
    <w:qFormat/>
    <w:rsid w:val="0069092A"/>
    <w:rPr>
      <w:rFonts w:ascii="宋体" w:eastAsia="宋体"/>
      <w:sz w:val="18"/>
      <w:szCs w:val="18"/>
    </w:rPr>
  </w:style>
  <w:style w:type="paragraph" w:styleId="a5">
    <w:name w:val="annotation text"/>
    <w:basedOn w:val="a"/>
    <w:link w:val="Char10"/>
    <w:uiPriority w:val="99"/>
    <w:unhideWhenUsed/>
    <w:qFormat/>
    <w:rsid w:val="0069092A"/>
    <w:pPr>
      <w:jc w:val="left"/>
    </w:pPr>
  </w:style>
  <w:style w:type="character" w:customStyle="1" w:styleId="Char2">
    <w:name w:val="批注文字 Char"/>
    <w:basedOn w:val="a0"/>
    <w:uiPriority w:val="99"/>
    <w:qFormat/>
    <w:rsid w:val="0069092A"/>
    <w:rPr>
      <w:rFonts w:ascii="Times New Roman" w:eastAsia="宋体" w:hAnsi="Times New Roman" w:cs="Times New Roman"/>
      <w:szCs w:val="20"/>
    </w:rPr>
  </w:style>
  <w:style w:type="character" w:customStyle="1" w:styleId="Char10">
    <w:name w:val="批注文字 Char1"/>
    <w:basedOn w:val="a0"/>
    <w:link w:val="a5"/>
    <w:uiPriority w:val="99"/>
    <w:qFormat/>
    <w:rsid w:val="0069092A"/>
    <w:rPr>
      <w:rFonts w:ascii="Times New Roman" w:eastAsia="宋体" w:hAnsi="Times New Roman" w:cs="Times New Roman"/>
      <w:szCs w:val="20"/>
    </w:rPr>
  </w:style>
  <w:style w:type="paragraph" w:styleId="a6">
    <w:name w:val="Body Text"/>
    <w:next w:val="a"/>
    <w:link w:val="Char3"/>
    <w:qFormat/>
    <w:rsid w:val="0069092A"/>
    <w:pPr>
      <w:widowControl w:val="0"/>
      <w:spacing w:after="120"/>
      <w:jc w:val="both"/>
    </w:pPr>
    <w:rPr>
      <w:rFonts w:ascii="Times New Roman" w:eastAsia="宋体" w:hAnsi="Times New Roman" w:cs="Times New Roman"/>
      <w:szCs w:val="24"/>
    </w:rPr>
  </w:style>
  <w:style w:type="character" w:customStyle="1" w:styleId="Char3">
    <w:name w:val="正文文本 Char"/>
    <w:basedOn w:val="a0"/>
    <w:link w:val="a6"/>
    <w:qFormat/>
    <w:rsid w:val="0069092A"/>
    <w:rPr>
      <w:rFonts w:ascii="Times New Roman" w:eastAsia="宋体" w:hAnsi="Times New Roman" w:cs="Times New Roman"/>
      <w:szCs w:val="24"/>
    </w:rPr>
  </w:style>
  <w:style w:type="paragraph" w:styleId="a7">
    <w:name w:val="Body Text Indent"/>
    <w:next w:val="a"/>
    <w:link w:val="Char4"/>
    <w:qFormat/>
    <w:rsid w:val="0069092A"/>
    <w:pPr>
      <w:widowControl w:val="0"/>
      <w:spacing w:line="440" w:lineRule="exact"/>
      <w:ind w:firstLineChars="196" w:firstLine="196"/>
      <w:jc w:val="both"/>
    </w:pPr>
    <w:rPr>
      <w:rFonts w:ascii="宋体" w:eastAsia="宋体" w:hAnsi="Times New Roman" w:cs="Century"/>
      <w:spacing w:val="2"/>
      <w:szCs w:val="24"/>
    </w:rPr>
  </w:style>
  <w:style w:type="character" w:customStyle="1" w:styleId="Char4">
    <w:name w:val="正文文本缩进 Char"/>
    <w:basedOn w:val="a0"/>
    <w:link w:val="a7"/>
    <w:qFormat/>
    <w:rsid w:val="0069092A"/>
    <w:rPr>
      <w:rFonts w:ascii="宋体" w:eastAsia="宋体" w:hAnsi="Times New Roman" w:cs="Century"/>
      <w:spacing w:val="2"/>
      <w:szCs w:val="24"/>
    </w:rPr>
  </w:style>
  <w:style w:type="paragraph" w:styleId="a8">
    <w:name w:val="Block Text"/>
    <w:qFormat/>
    <w:rsid w:val="0069092A"/>
    <w:pPr>
      <w:widowControl w:val="0"/>
      <w:adjustRightInd w:val="0"/>
      <w:ind w:left="420" w:right="33"/>
      <w:textAlignment w:val="baseline"/>
    </w:pPr>
    <w:rPr>
      <w:rFonts w:ascii="Times New Roman" w:eastAsia="宋体" w:hAnsi="Times New Roman" w:cs="Times New Roman"/>
      <w:kern w:val="0"/>
      <w:sz w:val="24"/>
      <w:szCs w:val="20"/>
    </w:rPr>
  </w:style>
  <w:style w:type="paragraph" w:styleId="a9">
    <w:name w:val="Plain Text"/>
    <w:basedOn w:val="a"/>
    <w:next w:val="a3"/>
    <w:link w:val="Char11"/>
    <w:uiPriority w:val="99"/>
    <w:qFormat/>
    <w:rsid w:val="0069092A"/>
    <w:rPr>
      <w:rFonts w:ascii="宋体" w:eastAsiaTheme="minorEastAsia" w:hAnsi="宋体" w:cstheme="minorBidi"/>
      <w:sz w:val="26"/>
      <w:szCs w:val="22"/>
    </w:rPr>
  </w:style>
  <w:style w:type="character" w:customStyle="1" w:styleId="Char5">
    <w:name w:val="纯文本 Char"/>
    <w:basedOn w:val="a0"/>
    <w:uiPriority w:val="99"/>
    <w:qFormat/>
    <w:rsid w:val="0069092A"/>
    <w:rPr>
      <w:rFonts w:ascii="宋体" w:eastAsia="宋体" w:hAnsi="Courier New" w:cs="Courier New"/>
      <w:szCs w:val="21"/>
    </w:rPr>
  </w:style>
  <w:style w:type="character" w:customStyle="1" w:styleId="Char11">
    <w:name w:val="纯文本 Char1"/>
    <w:basedOn w:val="a0"/>
    <w:link w:val="a9"/>
    <w:uiPriority w:val="99"/>
    <w:qFormat/>
    <w:rsid w:val="0069092A"/>
    <w:rPr>
      <w:rFonts w:ascii="宋体" w:hAnsi="宋体"/>
      <w:sz w:val="26"/>
    </w:rPr>
  </w:style>
  <w:style w:type="paragraph" w:styleId="aa">
    <w:name w:val="Date"/>
    <w:next w:val="a"/>
    <w:link w:val="Char6"/>
    <w:qFormat/>
    <w:rsid w:val="0069092A"/>
    <w:pPr>
      <w:widowControl w:val="0"/>
      <w:jc w:val="both"/>
    </w:pPr>
    <w:rPr>
      <w:rFonts w:ascii="宋体" w:eastAsia="宋体" w:hAnsi="宋体" w:cs="Times New Roman"/>
      <w:sz w:val="24"/>
      <w:szCs w:val="20"/>
    </w:rPr>
  </w:style>
  <w:style w:type="character" w:customStyle="1" w:styleId="Char6">
    <w:name w:val="日期 Char"/>
    <w:basedOn w:val="a0"/>
    <w:link w:val="aa"/>
    <w:qFormat/>
    <w:rsid w:val="0069092A"/>
    <w:rPr>
      <w:rFonts w:ascii="宋体" w:eastAsia="宋体" w:hAnsi="宋体" w:cs="Times New Roman"/>
      <w:sz w:val="24"/>
      <w:szCs w:val="20"/>
    </w:rPr>
  </w:style>
  <w:style w:type="paragraph" w:styleId="20">
    <w:name w:val="Body Text Indent 2"/>
    <w:link w:val="2Char0"/>
    <w:qFormat/>
    <w:rsid w:val="0069092A"/>
    <w:pPr>
      <w:widowControl w:val="0"/>
      <w:spacing w:line="420" w:lineRule="exact"/>
      <w:ind w:firstLineChars="195" w:firstLine="195"/>
      <w:jc w:val="both"/>
    </w:pPr>
    <w:rPr>
      <w:rFonts w:ascii="Times New Roman" w:eastAsia="宋体" w:hAnsi="Times New Roman" w:cs="Times New Roman"/>
      <w:szCs w:val="24"/>
    </w:rPr>
  </w:style>
  <w:style w:type="character" w:customStyle="1" w:styleId="2Char0">
    <w:name w:val="正文文本缩进 2 Char"/>
    <w:basedOn w:val="a0"/>
    <w:link w:val="20"/>
    <w:qFormat/>
    <w:rsid w:val="0069092A"/>
    <w:rPr>
      <w:rFonts w:ascii="Times New Roman" w:eastAsia="宋体" w:hAnsi="Times New Roman" w:cs="Times New Roman"/>
      <w:szCs w:val="24"/>
    </w:rPr>
  </w:style>
  <w:style w:type="paragraph" w:styleId="ab">
    <w:name w:val="Balloon Text"/>
    <w:basedOn w:val="a"/>
    <w:link w:val="Char12"/>
    <w:unhideWhenUsed/>
    <w:qFormat/>
    <w:rsid w:val="0069092A"/>
    <w:rPr>
      <w:rFonts w:asciiTheme="minorHAnsi" w:hAnsiTheme="minorHAnsi" w:cstheme="minorBidi"/>
      <w:sz w:val="18"/>
      <w:szCs w:val="18"/>
    </w:rPr>
  </w:style>
  <w:style w:type="character" w:customStyle="1" w:styleId="Char7">
    <w:name w:val="批注框文本 Char"/>
    <w:basedOn w:val="a0"/>
    <w:qFormat/>
    <w:rsid w:val="0069092A"/>
    <w:rPr>
      <w:rFonts w:ascii="Times New Roman" w:eastAsia="宋体" w:hAnsi="Times New Roman" w:cs="Times New Roman"/>
      <w:sz w:val="18"/>
      <w:szCs w:val="18"/>
    </w:rPr>
  </w:style>
  <w:style w:type="character" w:customStyle="1" w:styleId="Char12">
    <w:name w:val="批注框文本 Char1"/>
    <w:basedOn w:val="a0"/>
    <w:link w:val="ab"/>
    <w:qFormat/>
    <w:rsid w:val="0069092A"/>
    <w:rPr>
      <w:rFonts w:eastAsia="宋体"/>
      <w:sz w:val="18"/>
      <w:szCs w:val="18"/>
    </w:rPr>
  </w:style>
  <w:style w:type="paragraph" w:styleId="ac">
    <w:name w:val="footer"/>
    <w:basedOn w:val="a"/>
    <w:link w:val="Char13"/>
    <w:qFormat/>
    <w:rsid w:val="0069092A"/>
    <w:pPr>
      <w:tabs>
        <w:tab w:val="center" w:pos="4153"/>
        <w:tab w:val="right" w:pos="8307"/>
      </w:tabs>
      <w:snapToGrid w:val="0"/>
      <w:jc w:val="left"/>
    </w:pPr>
    <w:rPr>
      <w:rFonts w:asciiTheme="minorHAnsi" w:hAnsiTheme="minorHAnsi" w:cstheme="minorBidi"/>
      <w:sz w:val="18"/>
      <w:szCs w:val="22"/>
    </w:rPr>
  </w:style>
  <w:style w:type="character" w:customStyle="1" w:styleId="Char8">
    <w:name w:val="页脚 Char"/>
    <w:basedOn w:val="a0"/>
    <w:qFormat/>
    <w:rsid w:val="0069092A"/>
    <w:rPr>
      <w:rFonts w:ascii="Times New Roman" w:eastAsia="宋体" w:hAnsi="Times New Roman" w:cs="Times New Roman"/>
      <w:sz w:val="18"/>
      <w:szCs w:val="18"/>
    </w:rPr>
  </w:style>
  <w:style w:type="character" w:customStyle="1" w:styleId="Char13">
    <w:name w:val="页脚 Char1"/>
    <w:basedOn w:val="a0"/>
    <w:link w:val="ac"/>
    <w:qFormat/>
    <w:rsid w:val="0069092A"/>
    <w:rPr>
      <w:rFonts w:eastAsia="宋体"/>
      <w:sz w:val="18"/>
    </w:rPr>
  </w:style>
  <w:style w:type="paragraph" w:styleId="ad">
    <w:name w:val="header"/>
    <w:basedOn w:val="a"/>
    <w:link w:val="Char9"/>
    <w:qFormat/>
    <w:rsid w:val="0069092A"/>
    <w:pPr>
      <w:pBdr>
        <w:bottom w:val="single" w:sz="6" w:space="1" w:color="auto"/>
      </w:pBdr>
      <w:tabs>
        <w:tab w:val="center" w:pos="4153"/>
        <w:tab w:val="right" w:pos="8307"/>
      </w:tabs>
      <w:snapToGrid w:val="0"/>
      <w:jc w:val="center"/>
    </w:pPr>
    <w:rPr>
      <w:sz w:val="18"/>
    </w:rPr>
  </w:style>
  <w:style w:type="character" w:customStyle="1" w:styleId="Char9">
    <w:name w:val="页眉 Char"/>
    <w:basedOn w:val="a0"/>
    <w:link w:val="ad"/>
    <w:qFormat/>
    <w:rsid w:val="0069092A"/>
    <w:rPr>
      <w:rFonts w:ascii="Times New Roman" w:eastAsia="宋体" w:hAnsi="Times New Roman" w:cs="Times New Roman"/>
      <w:sz w:val="18"/>
      <w:szCs w:val="20"/>
    </w:rPr>
  </w:style>
  <w:style w:type="paragraph" w:styleId="10">
    <w:name w:val="toc 1"/>
    <w:basedOn w:val="a"/>
    <w:next w:val="a"/>
    <w:uiPriority w:val="39"/>
    <w:unhideWhenUsed/>
    <w:qFormat/>
    <w:rsid w:val="0069092A"/>
    <w:pPr>
      <w:tabs>
        <w:tab w:val="right" w:leader="dot" w:pos="8302"/>
      </w:tabs>
      <w:spacing w:before="360" w:after="360" w:line="480" w:lineRule="auto"/>
    </w:pPr>
    <w:rPr>
      <w:b/>
      <w:sz w:val="32"/>
    </w:rPr>
  </w:style>
  <w:style w:type="paragraph" w:styleId="40">
    <w:name w:val="toc 4"/>
    <w:basedOn w:val="a"/>
    <w:next w:val="a"/>
    <w:qFormat/>
    <w:rsid w:val="0069092A"/>
    <w:pPr>
      <w:ind w:left="1260"/>
    </w:pPr>
  </w:style>
  <w:style w:type="paragraph" w:styleId="21">
    <w:name w:val="toc 2"/>
    <w:basedOn w:val="a"/>
    <w:next w:val="a"/>
    <w:uiPriority w:val="39"/>
    <w:unhideWhenUsed/>
    <w:qFormat/>
    <w:rsid w:val="0069092A"/>
    <w:pPr>
      <w:spacing w:before="360" w:after="360" w:line="360" w:lineRule="auto"/>
      <w:ind w:leftChars="200" w:left="200"/>
    </w:pPr>
    <w:rPr>
      <w:sz w:val="28"/>
    </w:rPr>
  </w:style>
  <w:style w:type="paragraph" w:styleId="ae">
    <w:name w:val="Normal (Web)"/>
    <w:basedOn w:val="a"/>
    <w:qFormat/>
    <w:rsid w:val="0069092A"/>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nhideWhenUsed/>
    <w:qFormat/>
    <w:rsid w:val="0069092A"/>
    <w:rPr>
      <w:b/>
      <w:bCs/>
    </w:rPr>
  </w:style>
  <w:style w:type="character" w:customStyle="1" w:styleId="Chara">
    <w:name w:val="批注主题 Char"/>
    <w:basedOn w:val="Char2"/>
    <w:qFormat/>
    <w:rsid w:val="0069092A"/>
    <w:rPr>
      <w:rFonts w:ascii="Times New Roman" w:eastAsia="宋体" w:hAnsi="Times New Roman" w:cs="Times New Roman"/>
      <w:b/>
      <w:bCs/>
      <w:szCs w:val="20"/>
    </w:rPr>
  </w:style>
  <w:style w:type="character" w:customStyle="1" w:styleId="Char14">
    <w:name w:val="批注主题 Char1"/>
    <w:basedOn w:val="Char10"/>
    <w:link w:val="af"/>
    <w:qFormat/>
    <w:rsid w:val="0069092A"/>
    <w:rPr>
      <w:rFonts w:ascii="Times New Roman" w:eastAsia="宋体" w:hAnsi="Times New Roman" w:cs="Times New Roman"/>
      <w:b/>
      <w:bCs/>
      <w:szCs w:val="20"/>
    </w:rPr>
  </w:style>
  <w:style w:type="table" w:styleId="af0">
    <w:name w:val="Table Grid"/>
    <w:basedOn w:val="a1"/>
    <w:qFormat/>
    <w:rsid w:val="0069092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69092A"/>
    <w:rPr>
      <w:b/>
      <w:bCs/>
    </w:rPr>
  </w:style>
  <w:style w:type="character" w:styleId="af2">
    <w:name w:val="page number"/>
    <w:qFormat/>
    <w:rsid w:val="0069092A"/>
  </w:style>
  <w:style w:type="character" w:styleId="af3">
    <w:name w:val="Hyperlink"/>
    <w:uiPriority w:val="99"/>
    <w:qFormat/>
    <w:rsid w:val="0069092A"/>
    <w:rPr>
      <w:color w:val="0000FF"/>
      <w:u w:val="single"/>
    </w:rPr>
  </w:style>
  <w:style w:type="character" w:styleId="af4">
    <w:name w:val="annotation reference"/>
    <w:uiPriority w:val="99"/>
    <w:unhideWhenUsed/>
    <w:qFormat/>
    <w:rsid w:val="0069092A"/>
    <w:rPr>
      <w:sz w:val="21"/>
      <w:szCs w:val="21"/>
    </w:rPr>
  </w:style>
  <w:style w:type="paragraph" w:customStyle="1" w:styleId="11">
    <w:name w:val="列出段落1"/>
    <w:basedOn w:val="a"/>
    <w:uiPriority w:val="34"/>
    <w:qFormat/>
    <w:rsid w:val="0069092A"/>
    <w:pPr>
      <w:ind w:firstLineChars="200" w:firstLine="420"/>
    </w:pPr>
  </w:style>
  <w:style w:type="paragraph" w:customStyle="1" w:styleId="12">
    <w:name w:val="纯文本1"/>
    <w:next w:val="40"/>
    <w:qFormat/>
    <w:rsid w:val="0069092A"/>
    <w:pPr>
      <w:widowControl w:val="0"/>
      <w:adjustRightInd w:val="0"/>
      <w:jc w:val="both"/>
      <w:textAlignment w:val="baseline"/>
    </w:pPr>
    <w:rPr>
      <w:rFonts w:ascii="宋体" w:eastAsia="宋体" w:hAnsi="宋体" w:cs="Times New Roman"/>
      <w:sz w:val="26"/>
      <w:szCs w:val="20"/>
    </w:rPr>
  </w:style>
  <w:style w:type="paragraph" w:customStyle="1" w:styleId="110">
    <w:name w:val="列出段落11"/>
    <w:basedOn w:val="a"/>
    <w:uiPriority w:val="99"/>
    <w:qFormat/>
    <w:rsid w:val="0069092A"/>
    <w:pPr>
      <w:ind w:firstLineChars="200" w:firstLine="420"/>
    </w:pPr>
  </w:style>
  <w:style w:type="paragraph" w:customStyle="1" w:styleId="13">
    <w:name w:val="正文文本缩进1"/>
    <w:basedOn w:val="a"/>
    <w:qFormat/>
    <w:rsid w:val="0069092A"/>
    <w:pPr>
      <w:spacing w:line="200" w:lineRule="exact"/>
      <w:ind w:firstLine="301"/>
    </w:pPr>
    <w:rPr>
      <w:rFonts w:ascii="宋体" w:hAnsi="Courier New"/>
      <w:spacing w:val="-4"/>
      <w:sz w:val="18"/>
    </w:rPr>
  </w:style>
  <w:style w:type="paragraph" w:customStyle="1" w:styleId="22">
    <w:name w:val="正文文本缩进2"/>
    <w:basedOn w:val="a"/>
    <w:qFormat/>
    <w:rsid w:val="0069092A"/>
    <w:pPr>
      <w:spacing w:line="200" w:lineRule="exact"/>
      <w:ind w:firstLine="301"/>
    </w:pPr>
    <w:rPr>
      <w:rFonts w:ascii="宋体" w:hAnsi="Courier New"/>
      <w:spacing w:val="-4"/>
      <w:kern w:val="0"/>
      <w:sz w:val="18"/>
    </w:rPr>
  </w:style>
  <w:style w:type="character" w:customStyle="1" w:styleId="14">
    <w:name w:val="页码1"/>
    <w:basedOn w:val="a0"/>
    <w:qFormat/>
    <w:rsid w:val="0069092A"/>
  </w:style>
  <w:style w:type="paragraph" w:customStyle="1" w:styleId="210">
    <w:name w:val="正文文本缩进21"/>
    <w:basedOn w:val="a"/>
    <w:qFormat/>
    <w:rsid w:val="0069092A"/>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69092A"/>
    <w:rPr>
      <w:rFonts w:ascii="Times New Roman" w:eastAsia="宋体" w:hAnsi="Times New Roman" w:cs="Times New Roman"/>
      <w:szCs w:val="20"/>
    </w:rPr>
  </w:style>
  <w:style w:type="paragraph" w:customStyle="1" w:styleId="af5">
    <w:name w:val="Í¼±íÕýÎÄ"/>
    <w:basedOn w:val="a"/>
    <w:next w:val="a3"/>
    <w:qFormat/>
    <w:rsid w:val="0069092A"/>
    <w:pPr>
      <w:ind w:firstLineChars="200" w:firstLine="420"/>
    </w:pPr>
    <w:rPr>
      <w:sz w:val="24"/>
    </w:rPr>
  </w:style>
  <w:style w:type="paragraph" w:styleId="af6">
    <w:name w:val="List Paragraph"/>
    <w:basedOn w:val="a"/>
    <w:uiPriority w:val="34"/>
    <w:qFormat/>
    <w:rsid w:val="0069092A"/>
    <w:pPr>
      <w:ind w:firstLineChars="200" w:firstLine="420"/>
    </w:pPr>
    <w:rPr>
      <w:rFonts w:ascii="Calibri" w:hAnsi="Calibri"/>
      <w:szCs w:val="22"/>
    </w:rPr>
  </w:style>
  <w:style w:type="character" w:customStyle="1" w:styleId="font01">
    <w:name w:val="font01"/>
    <w:qFormat/>
    <w:rsid w:val="0069092A"/>
    <w:rPr>
      <w:rFonts w:ascii="宋体" w:eastAsia="宋体" w:hAnsi="宋体" w:cs="宋体" w:hint="eastAsia"/>
      <w:color w:val="000000"/>
      <w:sz w:val="24"/>
      <w:szCs w:val="24"/>
      <w:u w:val="none"/>
    </w:rPr>
  </w:style>
  <w:style w:type="paragraph" w:customStyle="1" w:styleId="23">
    <w:name w:val="纯文本2"/>
    <w:next w:val="40"/>
    <w:qFormat/>
    <w:rsid w:val="0069092A"/>
    <w:pPr>
      <w:widowControl w:val="0"/>
      <w:adjustRightInd w:val="0"/>
      <w:jc w:val="both"/>
      <w:textAlignment w:val="baseline"/>
    </w:pPr>
    <w:rPr>
      <w:rFonts w:ascii="宋体" w:eastAsia="宋体" w:hAnsi="Times New Roman" w:cs="Times New Roman"/>
      <w:sz w:val="26"/>
    </w:rPr>
  </w:style>
  <w:style w:type="paragraph" w:customStyle="1" w:styleId="Default">
    <w:name w:val="Default"/>
    <w:qFormat/>
    <w:rsid w:val="0069092A"/>
    <w:pPr>
      <w:widowControl w:val="0"/>
      <w:autoSpaceDE w:val="0"/>
      <w:autoSpaceDN w:val="0"/>
      <w:adjustRightInd w:val="0"/>
    </w:pPr>
    <w:rPr>
      <w:rFonts w:ascii="隶书" w:eastAsia="宋体" w:hAnsi="隶书" w:cs="隶书"/>
      <w:color w:val="000000"/>
      <w:kern w:val="0"/>
      <w:sz w:val="24"/>
      <w:szCs w:val="24"/>
    </w:rPr>
  </w:style>
  <w:style w:type="paragraph" w:customStyle="1" w:styleId="TOC1">
    <w:name w:val="TOC 标题1"/>
    <w:basedOn w:val="1"/>
    <w:next w:val="a"/>
    <w:uiPriority w:val="39"/>
    <w:semiHidden/>
    <w:unhideWhenUsed/>
    <w:qFormat/>
    <w:rsid w:val="0069092A"/>
    <w:pPr>
      <w:keepLines/>
      <w:spacing w:before="480" w:line="276" w:lineRule="auto"/>
      <w:jc w:val="left"/>
      <w:outlineLvl w:val="9"/>
    </w:pPr>
    <w:rPr>
      <w:rFonts w:asciiTheme="majorHAnsi" w:eastAsiaTheme="majorEastAsia" w:hAnsiTheme="majorHAnsi" w:cstheme="majorBidi"/>
      <w:b w:val="0"/>
      <w:bCs/>
      <w:color w:val="2E74B5" w:themeColor="accent1" w:themeShade="BF"/>
      <w:kern w:val="0"/>
      <w:sz w:val="28"/>
      <w:szCs w:val="28"/>
    </w:rPr>
  </w:style>
  <w:style w:type="paragraph" w:styleId="HTML">
    <w:name w:val="HTML Preformatted"/>
    <w:basedOn w:val="a"/>
    <w:link w:val="HTMLChar"/>
    <w:qFormat/>
    <w:rsid w:val="0069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69092A"/>
    <w:rPr>
      <w:rFonts w:ascii="宋体" w:eastAsia="宋体" w:hAnsi="宋体" w:cs="Times New Roman"/>
      <w:kern w:val="0"/>
      <w:sz w:val="24"/>
      <w:szCs w:val="24"/>
    </w:rPr>
  </w:style>
  <w:style w:type="paragraph" w:customStyle="1" w:styleId="af7">
    <w:name w:val="表格"/>
    <w:basedOn w:val="a"/>
    <w:qFormat/>
    <w:rsid w:val="0069092A"/>
    <w:pPr>
      <w:jc w:val="left"/>
    </w:pPr>
    <w:rPr>
      <w:rFonts w:ascii="宋体" w:hAnsi="宋体" w:cs="宋体"/>
      <w:szCs w:val="21"/>
    </w:rPr>
  </w:style>
  <w:style w:type="character" w:customStyle="1" w:styleId="font21">
    <w:name w:val="font21"/>
    <w:basedOn w:val="a0"/>
    <w:qFormat/>
    <w:rsid w:val="0069092A"/>
    <w:rPr>
      <w:rFonts w:ascii="宋体" w:eastAsia="宋体" w:hAnsi="宋体" w:cs="宋体" w:hint="eastAsia"/>
      <w:color w:val="000000"/>
      <w:sz w:val="21"/>
      <w:szCs w:val="21"/>
      <w:u w:val="none"/>
    </w:rPr>
  </w:style>
  <w:style w:type="character" w:customStyle="1" w:styleId="font31">
    <w:name w:val="font31"/>
    <w:basedOn w:val="a0"/>
    <w:qFormat/>
    <w:rsid w:val="0069092A"/>
    <w:rPr>
      <w:rFonts w:ascii="宋体" w:eastAsia="宋体" w:hAnsi="宋体" w:cs="宋体" w:hint="eastAsia"/>
      <w:color w:val="000000"/>
      <w:sz w:val="21"/>
      <w:szCs w:val="21"/>
      <w:u w:val="none"/>
    </w:rPr>
  </w:style>
  <w:style w:type="character" w:customStyle="1" w:styleId="font11">
    <w:name w:val="font11"/>
    <w:basedOn w:val="a0"/>
    <w:qFormat/>
    <w:rsid w:val="0069092A"/>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520</Words>
  <Characters>2966</Characters>
  <Application>Microsoft Office Word</Application>
  <DocSecurity>0</DocSecurity>
  <Lines>24</Lines>
  <Paragraphs>6</Paragraphs>
  <ScaleCrop>false</ScaleCrop>
  <Company>微软中国</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张想佳</dc:creator>
  <cp:keywords/>
  <dc:description/>
  <cp:lastModifiedBy>张想佳</cp:lastModifiedBy>
  <cp:revision>2</cp:revision>
  <dcterms:created xsi:type="dcterms:W3CDTF">2020-12-10T05:44:00Z</dcterms:created>
  <dcterms:modified xsi:type="dcterms:W3CDTF">2020-12-10T05:44:00Z</dcterms:modified>
</cp:coreProperties>
</file>