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36266">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Toc32412_WPSOffice_Level1"/>
      <w:r>
        <w:rPr>
          <w:rFonts w:hint="eastAsia" w:ascii="方正小标宋简体" w:hAnsi="方正小标宋简体" w:eastAsia="方正小标宋简体" w:cs="方正小标宋简体"/>
          <w:color w:val="auto"/>
          <w:sz w:val="44"/>
          <w:szCs w:val="44"/>
          <w:lang w:val="en-US" w:eastAsia="zh-CN"/>
        </w:rPr>
        <w:t>天宁胜境文化旅游设施提升工程（一期）—亮化提升工程灯具技术文件</w:t>
      </w:r>
    </w:p>
    <w:p w14:paraId="4E927879">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(2024年10月30日)</w:t>
      </w:r>
    </w:p>
    <w:bookmarkEnd w:id="0"/>
    <w:p w14:paraId="6F2C535E">
      <w:pPr>
        <w:pStyle w:val="2"/>
        <w:keepNext/>
        <w:keepLines/>
        <w:pageBreakBefore w:val="0"/>
        <w:widowControl w:val="0"/>
        <w:numPr>
          <w:ilvl w:val="0"/>
          <w:numId w:val="1"/>
        </w:numPr>
        <w:kinsoku/>
        <w:wordWrap/>
        <w:overflowPunct/>
        <w:topLinePunct w:val="0"/>
        <w:autoSpaceDE/>
        <w:autoSpaceDN/>
        <w:bidi w:val="0"/>
        <w:adjustRightInd/>
        <w:snapToGrid/>
        <w:spacing w:before="156" w:after="468" w:line="560" w:lineRule="exact"/>
        <w:ind w:left="0" w:leftChars="0"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清单</w:t>
      </w:r>
    </w:p>
    <w:tbl>
      <w:tblPr>
        <w:tblStyle w:val="3"/>
        <w:tblW w:w="51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3"/>
        <w:gridCol w:w="3975"/>
        <w:gridCol w:w="490"/>
        <w:gridCol w:w="461"/>
        <w:gridCol w:w="651"/>
        <w:gridCol w:w="2571"/>
      </w:tblGrid>
      <w:tr w14:paraId="4B47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294" w:type="pct"/>
            <w:tcBorders>
              <w:tl2br w:val="nil"/>
              <w:tr2bl w:val="nil"/>
            </w:tcBorders>
            <w:shd w:val="clear" w:color="auto" w:fill="F1F1F1" w:themeFill="background1" w:themeFillShade="F2"/>
            <w:vAlign w:val="center"/>
          </w:tcPr>
          <w:p w14:paraId="49E4F676">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0"/>
                <w:sz w:val="32"/>
                <w:szCs w:val="32"/>
              </w:rPr>
              <w:t>序号</w:t>
            </w:r>
          </w:p>
        </w:tc>
        <w:tc>
          <w:tcPr>
            <w:tcW w:w="2415" w:type="pct"/>
            <w:tcBorders>
              <w:tl2br w:val="nil"/>
              <w:tr2bl w:val="nil"/>
            </w:tcBorders>
            <w:shd w:val="clear" w:color="auto" w:fill="F1F1F1" w:themeFill="background1" w:themeFillShade="F2"/>
            <w:vAlign w:val="center"/>
          </w:tcPr>
          <w:p w14:paraId="0EA5001D">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0"/>
                <w:sz w:val="32"/>
                <w:szCs w:val="32"/>
              </w:rPr>
              <w:t>名称</w:t>
            </w:r>
          </w:p>
        </w:tc>
        <w:tc>
          <w:tcPr>
            <w:tcW w:w="365" w:type="pct"/>
            <w:tcBorders>
              <w:tl2br w:val="nil"/>
              <w:tr2bl w:val="nil"/>
            </w:tcBorders>
            <w:shd w:val="clear" w:color="auto" w:fill="F1F1F1" w:themeFill="background1" w:themeFillShade="F2"/>
            <w:vAlign w:val="center"/>
          </w:tcPr>
          <w:p w14:paraId="497E1397">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数量</w:t>
            </w:r>
          </w:p>
        </w:tc>
        <w:tc>
          <w:tcPr>
            <w:tcW w:w="355" w:type="pct"/>
            <w:tcBorders>
              <w:tl2br w:val="nil"/>
              <w:tr2bl w:val="nil"/>
            </w:tcBorders>
            <w:shd w:val="clear" w:color="auto" w:fill="F1F1F1" w:themeFill="background1" w:themeFillShade="F2"/>
            <w:vAlign w:val="center"/>
          </w:tcPr>
          <w:p w14:paraId="488BBD14">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0"/>
                <w:sz w:val="32"/>
                <w:szCs w:val="32"/>
              </w:rPr>
              <w:t>单位</w:t>
            </w:r>
          </w:p>
        </w:tc>
        <w:tc>
          <w:tcPr>
            <w:tcW w:w="416" w:type="pct"/>
            <w:tcBorders>
              <w:tl2br w:val="nil"/>
              <w:tr2bl w:val="nil"/>
            </w:tcBorders>
            <w:shd w:val="clear" w:color="auto" w:fill="F1F1F1" w:themeFill="background1" w:themeFillShade="F2"/>
            <w:vAlign w:val="center"/>
          </w:tcPr>
          <w:p w14:paraId="7E8A2A74">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防水要求</w:t>
            </w:r>
          </w:p>
        </w:tc>
        <w:tc>
          <w:tcPr>
            <w:tcW w:w="1152" w:type="pct"/>
            <w:tcBorders>
              <w:tl2br w:val="nil"/>
              <w:tr2bl w:val="nil"/>
            </w:tcBorders>
            <w:shd w:val="clear" w:color="auto" w:fill="F1F1F1" w:themeFill="background1" w:themeFillShade="F2"/>
            <w:vAlign w:val="center"/>
          </w:tcPr>
          <w:p w14:paraId="0ECC8FE1">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rPr>
              <w:t>编码</w:t>
            </w:r>
          </w:p>
        </w:tc>
      </w:tr>
      <w:tr w14:paraId="3857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4" w:type="pct"/>
            <w:tcBorders>
              <w:tl2br w:val="nil"/>
              <w:tr2bl w:val="nil"/>
            </w:tcBorders>
            <w:shd w:val="clear" w:color="auto" w:fill="auto"/>
            <w:vAlign w:val="center"/>
          </w:tcPr>
          <w:p w14:paraId="540F3878">
            <w:pPr>
              <w:pageBreakBefore w:val="0"/>
              <w:kinsoku/>
              <w:wordWrap/>
              <w:overflowPunct/>
              <w:topLinePunct w:val="0"/>
              <w:bidi w:val="0"/>
              <w:spacing w:line="560" w:lineRule="exact"/>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p>
        </w:tc>
        <w:tc>
          <w:tcPr>
            <w:tcW w:w="2415" w:type="pct"/>
            <w:tcBorders>
              <w:tl2br w:val="nil"/>
              <w:tr2bl w:val="nil"/>
            </w:tcBorders>
            <w:shd w:val="clear" w:color="auto" w:fill="auto"/>
            <w:vAlign w:val="center"/>
          </w:tcPr>
          <w:p w14:paraId="2C3D0DC0">
            <w:pPr>
              <w:pageBreakBefore w:val="0"/>
              <w:kinsoku/>
              <w:wordWrap/>
              <w:overflowPunct/>
              <w:topLinePunct w:val="0"/>
              <w:bidi w:val="0"/>
              <w:spacing w:line="560" w:lineRule="exact"/>
              <w:jc w:val="cente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 10W立方体LED草坪灯（青果巷灯型、3000K）</w:t>
            </w:r>
          </w:p>
        </w:tc>
        <w:tc>
          <w:tcPr>
            <w:tcW w:w="365" w:type="pct"/>
            <w:tcBorders>
              <w:tl2br w:val="nil"/>
              <w:tr2bl w:val="nil"/>
            </w:tcBorders>
            <w:shd w:val="clear" w:color="auto" w:fill="auto"/>
            <w:vAlign w:val="center"/>
          </w:tcPr>
          <w:p w14:paraId="7D18E66C">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331</w:t>
            </w:r>
          </w:p>
        </w:tc>
        <w:tc>
          <w:tcPr>
            <w:tcW w:w="355" w:type="pct"/>
            <w:vMerge w:val="restart"/>
            <w:tcBorders>
              <w:tl2br w:val="nil"/>
              <w:tr2bl w:val="nil"/>
            </w:tcBorders>
            <w:shd w:val="clear" w:color="auto" w:fill="auto"/>
            <w:vAlign w:val="center"/>
          </w:tcPr>
          <w:p w14:paraId="3528D14B">
            <w:pPr>
              <w:pageBreakBefore w:val="0"/>
              <w:kinsoku/>
              <w:wordWrap/>
              <w:overflowPunct/>
              <w:topLinePunct w:val="0"/>
              <w:bidi w:val="0"/>
              <w:spacing w:line="560" w:lineRule="exact"/>
              <w:jc w:val="cente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套</w:t>
            </w:r>
          </w:p>
        </w:tc>
        <w:tc>
          <w:tcPr>
            <w:tcW w:w="416" w:type="pct"/>
            <w:tcBorders>
              <w:tl2br w:val="nil"/>
              <w:tr2bl w:val="nil"/>
            </w:tcBorders>
            <w:vAlign w:val="center"/>
          </w:tcPr>
          <w:p w14:paraId="4AB96B23">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IP65</w:t>
            </w:r>
          </w:p>
        </w:tc>
        <w:tc>
          <w:tcPr>
            <w:tcW w:w="1152" w:type="pct"/>
            <w:tcBorders>
              <w:tl2br w:val="nil"/>
              <w:tr2bl w:val="nil"/>
            </w:tcBorders>
            <w:vAlign w:val="center"/>
          </w:tcPr>
          <w:p w14:paraId="1C32E518">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default" w:ascii="楷体_GB2312" w:hAnsi="楷体_GB2312" w:eastAsia="楷体_GB2312" w:cs="楷体_GB2312"/>
                <w:b w:val="0"/>
                <w:bCs w:val="0"/>
                <w:color w:val="auto"/>
                <w:kern w:val="2"/>
                <w:sz w:val="32"/>
                <w:szCs w:val="32"/>
                <w:highlight w:val="none"/>
                <w:lang w:val="en-US" w:eastAsia="zh-CN" w:bidi="ar-SA"/>
              </w:rPr>
              <w:t>0201161001000001</w:t>
            </w:r>
          </w:p>
        </w:tc>
      </w:tr>
      <w:tr w14:paraId="10D3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4" w:type="pct"/>
            <w:tcBorders>
              <w:tl2br w:val="nil"/>
              <w:tr2bl w:val="nil"/>
            </w:tcBorders>
            <w:shd w:val="clear" w:color="auto" w:fill="auto"/>
            <w:vAlign w:val="center"/>
          </w:tcPr>
          <w:p w14:paraId="4A206AA7">
            <w:pPr>
              <w:pageBreakBefore w:val="0"/>
              <w:kinsoku/>
              <w:wordWrap/>
              <w:overflowPunct/>
              <w:topLinePunct w:val="0"/>
              <w:bidi w:val="0"/>
              <w:spacing w:line="560" w:lineRule="exact"/>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p>
        </w:tc>
        <w:tc>
          <w:tcPr>
            <w:tcW w:w="2415" w:type="pct"/>
            <w:tcBorders>
              <w:tl2br w:val="nil"/>
              <w:tr2bl w:val="nil"/>
            </w:tcBorders>
            <w:shd w:val="clear" w:color="auto" w:fill="auto"/>
            <w:vAlign w:val="center"/>
          </w:tcPr>
          <w:p w14:paraId="7F8E816B">
            <w:pPr>
              <w:pageBreakBefore w:val="0"/>
              <w:kinsoku/>
              <w:wordWrap/>
              <w:overflowPunct/>
              <w:topLinePunct w:val="0"/>
              <w:bidi w:val="0"/>
              <w:spacing w:line="560" w:lineRule="exact"/>
              <w:jc w:val="cente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草坪灯转接法兰板</w:t>
            </w:r>
          </w:p>
        </w:tc>
        <w:tc>
          <w:tcPr>
            <w:tcW w:w="365" w:type="pct"/>
            <w:tcBorders>
              <w:tl2br w:val="nil"/>
              <w:tr2bl w:val="nil"/>
            </w:tcBorders>
            <w:shd w:val="clear" w:color="auto" w:fill="auto"/>
            <w:vAlign w:val="center"/>
          </w:tcPr>
          <w:p w14:paraId="3DA79B9C">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189</w:t>
            </w:r>
          </w:p>
        </w:tc>
        <w:tc>
          <w:tcPr>
            <w:tcW w:w="355" w:type="pct"/>
            <w:vMerge w:val="continue"/>
            <w:tcBorders>
              <w:tl2br w:val="nil"/>
              <w:tr2bl w:val="nil"/>
            </w:tcBorders>
            <w:shd w:val="clear" w:color="auto" w:fill="auto"/>
            <w:vAlign w:val="center"/>
          </w:tcPr>
          <w:p w14:paraId="7FAF483B">
            <w:pPr>
              <w:pageBreakBefore w:val="0"/>
              <w:kinsoku/>
              <w:wordWrap/>
              <w:overflowPunct/>
              <w:topLinePunct w:val="0"/>
              <w:bidi w:val="0"/>
              <w:spacing w:line="560" w:lineRule="exact"/>
              <w:jc w:val="center"/>
              <w:rPr>
                <w:rFonts w:hint="eastAsia" w:ascii="楷体_GB2312" w:hAnsi="楷体_GB2312" w:eastAsia="楷体_GB2312" w:cs="楷体_GB2312"/>
                <w:b w:val="0"/>
                <w:bCs w:val="0"/>
                <w:color w:val="auto"/>
                <w:kern w:val="2"/>
                <w:sz w:val="32"/>
                <w:szCs w:val="32"/>
                <w:highlight w:val="none"/>
                <w:lang w:val="en-US" w:eastAsia="zh-CN" w:bidi="ar-SA"/>
              </w:rPr>
            </w:pPr>
          </w:p>
        </w:tc>
        <w:tc>
          <w:tcPr>
            <w:tcW w:w="416" w:type="pct"/>
            <w:tcBorders>
              <w:tl2br w:val="nil"/>
              <w:tr2bl w:val="nil"/>
            </w:tcBorders>
            <w:vAlign w:val="center"/>
          </w:tcPr>
          <w:p w14:paraId="568B4456">
            <w:pPr>
              <w:pageBreakBefore w:val="0"/>
              <w:kinsoku/>
              <w:wordWrap/>
              <w:overflowPunct/>
              <w:topLinePunct w:val="0"/>
              <w:bidi w:val="0"/>
              <w:spacing w:line="560" w:lineRule="exact"/>
              <w:jc w:val="cente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w:t>
            </w:r>
          </w:p>
        </w:tc>
        <w:tc>
          <w:tcPr>
            <w:tcW w:w="1152" w:type="pct"/>
            <w:tcBorders>
              <w:tl2br w:val="nil"/>
              <w:tr2bl w:val="nil"/>
            </w:tcBorders>
            <w:vAlign w:val="center"/>
          </w:tcPr>
          <w:p w14:paraId="2C0D61F9">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0606010008000001</w:t>
            </w:r>
          </w:p>
        </w:tc>
      </w:tr>
    </w:tbl>
    <w:p w14:paraId="5B7C5DD8">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p>
    <w:p w14:paraId="7897A5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投标须知</w:t>
      </w:r>
    </w:p>
    <w:p w14:paraId="6DD0B91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常规要求</w:t>
      </w:r>
    </w:p>
    <w:p w14:paraId="36D3F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报价</w:t>
      </w:r>
    </w:p>
    <w:p w14:paraId="4F9ABB1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景观灯具报价含安装完毕所需所有螺栓、螺帽、防松垫片（包括灯具自带螺栓和安装用螺栓），</w:t>
      </w:r>
      <w:r>
        <w:rPr>
          <w:rFonts w:hint="eastAsia" w:ascii="仿宋_GB2312" w:hAnsi="仿宋_GB2312" w:eastAsia="仿宋_GB2312" w:cs="仿宋_GB2312"/>
          <w:color w:val="auto"/>
          <w:sz w:val="32"/>
          <w:szCs w:val="32"/>
          <w:highlight w:val="none"/>
        </w:rPr>
        <w:t>具体的数量、型号、颜色等参数应当与</w:t>
      </w:r>
      <w:r>
        <w:rPr>
          <w:rFonts w:hint="eastAsia" w:ascii="仿宋_GB2312" w:hAnsi="仿宋_GB2312" w:eastAsia="仿宋_GB2312" w:cs="仿宋_GB2312"/>
          <w:color w:val="auto"/>
          <w:sz w:val="32"/>
          <w:szCs w:val="32"/>
          <w:highlight w:val="none"/>
          <w:lang w:val="en-US" w:eastAsia="zh-CN"/>
        </w:rPr>
        <w:t>采购单位</w:t>
      </w:r>
      <w:r>
        <w:rPr>
          <w:rFonts w:hint="eastAsia" w:ascii="仿宋_GB2312" w:hAnsi="仿宋_GB2312" w:eastAsia="仿宋_GB2312" w:cs="仿宋_GB2312"/>
          <w:color w:val="auto"/>
          <w:sz w:val="32"/>
          <w:szCs w:val="32"/>
          <w:highlight w:val="none"/>
        </w:rPr>
        <w:t>提供的技术性文件一致或由</w:t>
      </w:r>
      <w:r>
        <w:rPr>
          <w:rFonts w:hint="eastAsia" w:ascii="仿宋_GB2312" w:hAnsi="仿宋_GB2312" w:eastAsia="仿宋_GB2312" w:cs="仿宋_GB2312"/>
          <w:color w:val="auto"/>
          <w:sz w:val="32"/>
          <w:szCs w:val="32"/>
          <w:highlight w:val="none"/>
          <w:lang w:val="en-US" w:eastAsia="zh-CN"/>
        </w:rPr>
        <w:t>采购单位</w:t>
      </w:r>
      <w:r>
        <w:rPr>
          <w:rFonts w:hint="eastAsia" w:ascii="仿宋_GB2312" w:hAnsi="仿宋_GB2312" w:eastAsia="仿宋_GB2312" w:cs="仿宋_GB2312"/>
          <w:color w:val="auto"/>
          <w:sz w:val="32"/>
          <w:szCs w:val="32"/>
          <w:highlight w:val="none"/>
        </w:rPr>
        <w:t>审核确认。若由于缺失配件而无法满足现场安装条件所产生的额外安装、更换费用由</w:t>
      </w:r>
      <w:r>
        <w:rPr>
          <w:rFonts w:hint="eastAsia" w:ascii="仿宋_GB2312" w:hAnsi="仿宋_GB2312" w:eastAsia="仿宋_GB2312" w:cs="仿宋_GB2312"/>
          <w:color w:val="auto"/>
          <w:sz w:val="32"/>
          <w:szCs w:val="32"/>
          <w:highlight w:val="none"/>
          <w:lang w:eastAsia="zh-CN"/>
        </w:rPr>
        <w:t>中标单位</w:t>
      </w:r>
      <w:r>
        <w:rPr>
          <w:rFonts w:hint="eastAsia" w:ascii="仿宋_GB2312" w:hAnsi="仿宋_GB2312" w:eastAsia="仿宋_GB2312" w:cs="仿宋_GB2312"/>
          <w:color w:val="auto"/>
          <w:sz w:val="32"/>
          <w:szCs w:val="32"/>
          <w:highlight w:val="none"/>
        </w:rPr>
        <w:t>承担，并可在履约保证金中扣除。</w:t>
      </w:r>
    </w:p>
    <w:p w14:paraId="081A2FE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灯具效果调试等事宜的全部费用</w:t>
      </w:r>
      <w:r>
        <w:rPr>
          <w:rFonts w:hint="eastAsia" w:ascii="仿宋_GB2312" w:hAnsi="仿宋_GB2312" w:eastAsia="仿宋_GB2312" w:cs="仿宋_GB2312"/>
          <w:color w:val="auto"/>
          <w:sz w:val="32"/>
          <w:szCs w:val="32"/>
          <w:highlight w:val="none"/>
        </w:rPr>
        <w:t>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w:t>
      </w:r>
    </w:p>
    <w:p w14:paraId="4A0E1E3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由于</w:t>
      </w:r>
      <w:r>
        <w:rPr>
          <w:rFonts w:hint="eastAsia" w:ascii="仿宋_GB2312" w:hAnsi="仿宋_GB2312" w:eastAsia="仿宋_GB2312" w:cs="仿宋_GB2312"/>
          <w:color w:val="auto"/>
          <w:sz w:val="32"/>
          <w:szCs w:val="32"/>
          <w:highlight w:val="none"/>
          <w:lang w:eastAsia="zh-CN"/>
        </w:rPr>
        <w:t>中标单位</w:t>
      </w:r>
      <w:r>
        <w:rPr>
          <w:rFonts w:hint="eastAsia" w:ascii="仿宋_GB2312" w:hAnsi="仿宋_GB2312" w:eastAsia="仿宋_GB2312" w:cs="仿宋_GB2312"/>
          <w:color w:val="auto"/>
          <w:sz w:val="32"/>
          <w:szCs w:val="32"/>
          <w:highlight w:val="none"/>
        </w:rPr>
        <w:t>的原因造成灯具</w:t>
      </w:r>
      <w:r>
        <w:rPr>
          <w:rFonts w:hint="eastAsia" w:ascii="仿宋_GB2312" w:hAnsi="仿宋_GB2312" w:eastAsia="仿宋_GB2312" w:cs="仿宋_GB2312"/>
          <w:color w:val="auto"/>
          <w:sz w:val="32"/>
          <w:szCs w:val="32"/>
          <w:highlight w:val="none"/>
          <w:lang w:eastAsia="zh-CN"/>
        </w:rPr>
        <w:t>及配件的质量、</w:t>
      </w:r>
      <w:r>
        <w:rPr>
          <w:rFonts w:hint="eastAsia" w:ascii="仿宋_GB2312" w:hAnsi="仿宋_GB2312" w:eastAsia="仿宋_GB2312" w:cs="仿宋_GB2312"/>
          <w:color w:val="auto"/>
          <w:sz w:val="32"/>
          <w:szCs w:val="32"/>
          <w:highlight w:val="none"/>
        </w:rPr>
        <w:t>效果不符合要求的，所产生的返工更换等全部费用含在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造成误工延期的，承担相应误工费用。</w:t>
      </w:r>
    </w:p>
    <w:p w14:paraId="627E5BA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报价包含运输至采购单位仓库</w:t>
      </w:r>
      <w:r>
        <w:rPr>
          <w:rFonts w:hint="eastAsia" w:ascii="仿宋_GB2312" w:hAnsi="仿宋_GB2312" w:eastAsia="仿宋_GB2312" w:cs="仿宋_GB2312"/>
          <w:color w:val="auto"/>
          <w:sz w:val="32"/>
          <w:szCs w:val="32"/>
          <w:highlight w:val="none"/>
          <w:lang w:val="en-US" w:eastAsia="zh-CN"/>
        </w:rPr>
        <w:t>或采购单位指定地点</w:t>
      </w:r>
      <w:r>
        <w:rPr>
          <w:rFonts w:hint="eastAsia" w:ascii="仿宋_GB2312" w:hAnsi="仿宋_GB2312" w:eastAsia="仿宋_GB2312" w:cs="仿宋_GB2312"/>
          <w:color w:val="auto"/>
          <w:sz w:val="32"/>
          <w:szCs w:val="32"/>
          <w:highlight w:val="none"/>
        </w:rPr>
        <w:t>入库检验的相关费用</w:t>
      </w:r>
      <w:r>
        <w:rPr>
          <w:rFonts w:hint="eastAsia" w:ascii="仿宋_GB2312" w:hAnsi="仿宋_GB2312" w:eastAsia="仿宋_GB2312" w:cs="仿宋_GB2312"/>
          <w:color w:val="auto"/>
          <w:sz w:val="32"/>
          <w:szCs w:val="32"/>
          <w:highlight w:val="none"/>
          <w:lang w:eastAsia="zh-CN"/>
        </w:rPr>
        <w:t>（包含</w:t>
      </w:r>
      <w:r>
        <w:rPr>
          <w:rFonts w:hint="eastAsia" w:ascii="仿宋_GB2312" w:hAnsi="仿宋_GB2312" w:eastAsia="仿宋_GB2312" w:cs="仿宋_GB2312"/>
          <w:color w:val="auto"/>
          <w:sz w:val="32"/>
          <w:szCs w:val="32"/>
          <w:highlight w:val="none"/>
          <w:lang w:val="en-US" w:eastAsia="zh-CN"/>
        </w:rPr>
        <w:t>一次</w:t>
      </w:r>
      <w:r>
        <w:rPr>
          <w:rFonts w:hint="eastAsia" w:ascii="仿宋_GB2312" w:hAnsi="仿宋_GB2312" w:eastAsia="仿宋_GB2312" w:cs="仿宋_GB2312"/>
          <w:color w:val="auto"/>
          <w:sz w:val="32"/>
          <w:szCs w:val="32"/>
          <w:highlight w:val="none"/>
          <w:lang w:eastAsia="zh-CN"/>
        </w:rPr>
        <w:t>装卸费用）</w:t>
      </w:r>
      <w:r>
        <w:rPr>
          <w:rFonts w:hint="eastAsia" w:ascii="仿宋_GB2312" w:hAnsi="仿宋_GB2312" w:eastAsia="仿宋_GB2312" w:cs="仿宋_GB2312"/>
          <w:color w:val="auto"/>
          <w:sz w:val="32"/>
          <w:szCs w:val="32"/>
          <w:highlight w:val="none"/>
        </w:rPr>
        <w:t>。在运输、装卸等环节，必须做好成品保护，确保货物完好无损。所有措施费用含在投标报价中。</w:t>
      </w:r>
    </w:p>
    <w:p w14:paraId="2A90A95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服务要求</w:t>
      </w:r>
    </w:p>
    <w:p w14:paraId="3E852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深化设计</w:t>
      </w:r>
    </w:p>
    <w:p w14:paraId="3D134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中标单位应</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采购单位提供</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相关资料深化设计，根据照明效果和施工图，深化</w:t>
      </w:r>
      <w:r>
        <w:rPr>
          <w:rFonts w:hint="eastAsia" w:ascii="仿宋_GB2312" w:hAnsi="仿宋_GB2312" w:eastAsia="仿宋_GB2312" w:cs="仿宋_GB2312"/>
          <w:color w:val="auto"/>
          <w:sz w:val="32"/>
          <w:szCs w:val="32"/>
          <w:highlight w:val="none"/>
          <w:lang w:val="en-US" w:eastAsia="zh-CN"/>
        </w:rPr>
        <w:t>安装方式并通过采购单位最终确认。</w:t>
      </w:r>
    </w:p>
    <w:p w14:paraId="1B2EF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供货要求</w:t>
      </w:r>
    </w:p>
    <w:p w14:paraId="4C9D389E">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灯具、配件和附件等应同时提供，未同时供货的视为未按要求供货，其中灯具、支架应是已组装状态。</w:t>
      </w:r>
    </w:p>
    <w:p w14:paraId="6ED64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施工过程中的服务</w:t>
      </w:r>
    </w:p>
    <w:p w14:paraId="0D1B576D">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中标单位</w:t>
      </w:r>
      <w:r>
        <w:rPr>
          <w:rFonts w:hint="eastAsia" w:ascii="仿宋_GB2312" w:hAnsi="仿宋_GB2312" w:eastAsia="仿宋_GB2312" w:cs="仿宋_GB2312"/>
          <w:color w:val="auto"/>
          <w:sz w:val="32"/>
          <w:szCs w:val="32"/>
          <w:highlight w:val="none"/>
          <w:lang w:eastAsia="zh-CN"/>
        </w:rPr>
        <w:t>需明确现场服务的技术人员名单。</w:t>
      </w:r>
      <w:r>
        <w:rPr>
          <w:rFonts w:hint="eastAsia" w:ascii="仿宋_GB2312" w:hAnsi="仿宋_GB2312" w:eastAsia="仿宋_GB2312" w:cs="仿宋_GB2312"/>
          <w:color w:val="auto"/>
          <w:sz w:val="32"/>
          <w:szCs w:val="32"/>
          <w:highlight w:val="none"/>
        </w:rPr>
        <w:t>在采购单位施工期间提供调试、配合服务工作，人员数量和调试进度应符合现场需求，</w:t>
      </w:r>
      <w:r>
        <w:rPr>
          <w:rFonts w:hint="eastAsia" w:ascii="仿宋_GB2312" w:hAnsi="仿宋_GB2312" w:eastAsia="仿宋_GB2312" w:cs="仿宋_GB2312"/>
          <w:color w:val="auto"/>
          <w:sz w:val="32"/>
          <w:szCs w:val="32"/>
          <w:highlight w:val="none"/>
          <w:lang w:eastAsia="zh-CN"/>
        </w:rPr>
        <w:t>否则由此产生的误工等费用从质保金中扣除，</w:t>
      </w:r>
      <w:r>
        <w:rPr>
          <w:rFonts w:hint="eastAsia" w:ascii="仿宋_GB2312" w:hAnsi="仿宋_GB2312" w:eastAsia="仿宋_GB2312" w:cs="仿宋_GB2312"/>
          <w:color w:val="auto"/>
          <w:sz w:val="32"/>
          <w:szCs w:val="32"/>
          <w:highlight w:val="none"/>
        </w:rPr>
        <w:t>中标单位的响应时间为24小时。</w:t>
      </w:r>
    </w:p>
    <w:p w14:paraId="1FA5D3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技术通则要求</w:t>
      </w:r>
    </w:p>
    <w:p w14:paraId="7550544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灯具应符合的技术标准</w:t>
      </w:r>
    </w:p>
    <w:p w14:paraId="629ADCF5">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凡是不注日期的引用文件，其最新版本（包括所有的修改单）适用于本文件。同时包括其他国家及江苏省现行标准规范、图集等；以及相关的灯具的现行的国家规范和标准。</w:t>
      </w:r>
    </w:p>
    <w:p w14:paraId="29FC9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GB7000.1灯具 第1部分：一般要求与试验</w:t>
      </w:r>
      <w:r>
        <w:rPr>
          <w:rFonts w:hint="eastAsia" w:ascii="仿宋_GB2312" w:hAnsi="仿宋_GB2312" w:eastAsia="仿宋_GB2312" w:cs="仿宋_GB2312"/>
          <w:b w:val="0"/>
          <w:bCs w:val="0"/>
          <w:color w:val="auto"/>
          <w:sz w:val="32"/>
          <w:szCs w:val="32"/>
          <w:lang w:eastAsia="zh-CN"/>
        </w:rPr>
        <w:t>。</w:t>
      </w:r>
    </w:p>
    <w:p w14:paraId="62C2E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GB7000.203灯具 第2-3部分：特殊要求 道路与街路照明灯具</w:t>
      </w:r>
      <w:r>
        <w:rPr>
          <w:rFonts w:hint="eastAsia" w:ascii="仿宋_GB2312" w:hAnsi="仿宋_GB2312" w:eastAsia="仿宋_GB2312" w:cs="仿宋_GB2312"/>
          <w:b w:val="0"/>
          <w:bCs w:val="0"/>
          <w:color w:val="auto"/>
          <w:sz w:val="32"/>
          <w:szCs w:val="32"/>
          <w:lang w:eastAsia="zh-CN"/>
        </w:rPr>
        <w:t>。</w:t>
      </w:r>
    </w:p>
    <w:p w14:paraId="55456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highlight w:val="none"/>
        </w:rPr>
        <w:t>GB7000.7投光灯具安全要求</w:t>
      </w:r>
      <w:r>
        <w:rPr>
          <w:rFonts w:hint="eastAsia" w:ascii="仿宋_GB2312" w:hAnsi="仿宋_GB2312" w:eastAsia="仿宋_GB2312" w:cs="仿宋_GB2312"/>
          <w:b w:val="0"/>
          <w:bCs w:val="0"/>
          <w:color w:val="auto"/>
          <w:sz w:val="32"/>
          <w:szCs w:val="32"/>
          <w:highlight w:val="none"/>
          <w:lang w:eastAsia="zh-CN"/>
        </w:rPr>
        <w:t>。</w:t>
      </w:r>
    </w:p>
    <w:p w14:paraId="443D6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GB7000.10固定式通用灯具安全要求</w:t>
      </w:r>
      <w:r>
        <w:rPr>
          <w:rFonts w:hint="eastAsia" w:ascii="仿宋_GB2312" w:hAnsi="仿宋_GB2312" w:eastAsia="仿宋_GB2312" w:cs="仿宋_GB2312"/>
          <w:b w:val="0"/>
          <w:bCs w:val="0"/>
          <w:color w:val="auto"/>
          <w:sz w:val="32"/>
          <w:szCs w:val="32"/>
          <w:highlight w:val="none"/>
          <w:lang w:eastAsia="zh-CN"/>
        </w:rPr>
        <w:t>。</w:t>
      </w:r>
    </w:p>
    <w:p w14:paraId="08661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GB 4208外壳防护等级（IP代码）</w:t>
      </w:r>
      <w:r>
        <w:rPr>
          <w:rFonts w:hint="eastAsia" w:ascii="仿宋_GB2312" w:hAnsi="仿宋_GB2312" w:eastAsia="仿宋_GB2312" w:cs="仿宋_GB2312"/>
          <w:b w:val="0"/>
          <w:bCs w:val="0"/>
          <w:color w:val="auto"/>
          <w:sz w:val="32"/>
          <w:szCs w:val="32"/>
          <w:highlight w:val="none"/>
          <w:lang w:eastAsia="zh-CN"/>
        </w:rPr>
        <w:t>。</w:t>
      </w:r>
    </w:p>
    <w:p w14:paraId="188863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GB17743电气照明和类似设备的无线电骚扰特性的限值和测量方法</w:t>
      </w:r>
      <w:r>
        <w:rPr>
          <w:rFonts w:hint="eastAsia" w:ascii="仿宋_GB2312" w:hAnsi="仿宋_GB2312" w:eastAsia="仿宋_GB2312" w:cs="仿宋_GB2312"/>
          <w:b w:val="0"/>
          <w:bCs w:val="0"/>
          <w:color w:val="auto"/>
          <w:sz w:val="32"/>
          <w:szCs w:val="32"/>
          <w:highlight w:val="none"/>
          <w:lang w:eastAsia="zh-CN"/>
        </w:rPr>
        <w:t>。</w:t>
      </w:r>
    </w:p>
    <w:p w14:paraId="453D0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GB17625.1电磁兼限值谐波电流发射限值容</w:t>
      </w:r>
      <w:r>
        <w:rPr>
          <w:rFonts w:hint="eastAsia" w:ascii="仿宋_GB2312" w:hAnsi="仿宋_GB2312" w:eastAsia="仿宋_GB2312" w:cs="仿宋_GB2312"/>
          <w:b w:val="0"/>
          <w:bCs w:val="0"/>
          <w:color w:val="auto"/>
          <w:sz w:val="32"/>
          <w:szCs w:val="32"/>
          <w:highlight w:val="none"/>
          <w:lang w:eastAsia="zh-CN"/>
        </w:rPr>
        <w:t>。</w:t>
      </w:r>
    </w:p>
    <w:p w14:paraId="497C8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GB/T18595一般照明用设备电磁兼容抗扰度要求</w:t>
      </w:r>
      <w:r>
        <w:rPr>
          <w:rFonts w:hint="eastAsia" w:ascii="仿宋_GB2312" w:hAnsi="仿宋_GB2312" w:eastAsia="仿宋_GB2312" w:cs="仿宋_GB2312"/>
          <w:b w:val="0"/>
          <w:bCs w:val="0"/>
          <w:color w:val="auto"/>
          <w:sz w:val="32"/>
          <w:szCs w:val="32"/>
          <w:highlight w:val="none"/>
          <w:lang w:eastAsia="zh-CN"/>
        </w:rPr>
        <w:t>。</w:t>
      </w:r>
    </w:p>
    <w:p w14:paraId="02C26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GB l7625.1电磁兼容限值谐波电流发射限值(设备每相输入电流≤16A)</w:t>
      </w:r>
      <w:r>
        <w:rPr>
          <w:rFonts w:hint="eastAsia" w:ascii="仿宋_GB2312" w:hAnsi="仿宋_GB2312" w:eastAsia="仿宋_GB2312" w:cs="仿宋_GB2312"/>
          <w:b w:val="0"/>
          <w:bCs w:val="0"/>
          <w:color w:val="auto"/>
          <w:sz w:val="32"/>
          <w:szCs w:val="32"/>
          <w:highlight w:val="none"/>
          <w:lang w:eastAsia="zh-CN"/>
        </w:rPr>
        <w:t>。</w:t>
      </w:r>
    </w:p>
    <w:p w14:paraId="6B8C9E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QB/T1551灯具油漆涂层</w:t>
      </w:r>
      <w:r>
        <w:rPr>
          <w:rFonts w:hint="eastAsia" w:ascii="仿宋_GB2312" w:hAnsi="仿宋_GB2312" w:eastAsia="仿宋_GB2312" w:cs="仿宋_GB2312"/>
          <w:b w:val="0"/>
          <w:bCs w:val="0"/>
          <w:color w:val="auto"/>
          <w:sz w:val="32"/>
          <w:szCs w:val="32"/>
          <w:highlight w:val="none"/>
          <w:lang w:eastAsia="zh-CN"/>
        </w:rPr>
        <w:t>。</w:t>
      </w:r>
    </w:p>
    <w:p w14:paraId="2A868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QB/T3741灯具电镀、化学覆盖层</w:t>
      </w:r>
      <w:r>
        <w:rPr>
          <w:rFonts w:hint="eastAsia" w:ascii="仿宋_GB2312" w:hAnsi="仿宋_GB2312" w:eastAsia="仿宋_GB2312" w:cs="仿宋_GB2312"/>
          <w:b w:val="0"/>
          <w:bCs w:val="0"/>
          <w:color w:val="auto"/>
          <w:sz w:val="32"/>
          <w:szCs w:val="32"/>
          <w:highlight w:val="none"/>
          <w:lang w:eastAsia="zh-CN"/>
        </w:rPr>
        <w:t>。</w:t>
      </w:r>
    </w:p>
    <w:p w14:paraId="0E999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GB/T33721 LED灯具可靠性试验方法</w:t>
      </w:r>
      <w:r>
        <w:rPr>
          <w:rFonts w:hint="eastAsia" w:ascii="仿宋_GB2312" w:hAnsi="仿宋_GB2312" w:eastAsia="仿宋_GB2312" w:cs="仿宋_GB2312"/>
          <w:b w:val="0"/>
          <w:bCs w:val="0"/>
          <w:color w:val="auto"/>
          <w:sz w:val="32"/>
          <w:szCs w:val="32"/>
          <w:highlight w:val="none"/>
          <w:lang w:eastAsia="zh-CN"/>
        </w:rPr>
        <w:t>。</w:t>
      </w:r>
    </w:p>
    <w:p w14:paraId="5C5570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CJJ45 城市道路照明设计标准</w:t>
      </w:r>
      <w:r>
        <w:rPr>
          <w:rFonts w:hint="eastAsia" w:ascii="仿宋_GB2312" w:hAnsi="仿宋_GB2312" w:eastAsia="仿宋_GB2312" w:cs="仿宋_GB2312"/>
          <w:b w:val="0"/>
          <w:bCs w:val="0"/>
          <w:color w:val="auto"/>
          <w:sz w:val="32"/>
          <w:szCs w:val="32"/>
          <w:highlight w:val="none"/>
          <w:lang w:eastAsia="zh-CN"/>
        </w:rPr>
        <w:t>。</w:t>
      </w:r>
    </w:p>
    <w:p w14:paraId="28311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JGJ/T 163 城市夜景照明设计规范</w:t>
      </w:r>
      <w:r>
        <w:rPr>
          <w:rFonts w:hint="eastAsia" w:ascii="仿宋_GB2312" w:hAnsi="仿宋_GB2312" w:eastAsia="仿宋_GB2312" w:cs="仿宋_GB2312"/>
          <w:b w:val="0"/>
          <w:bCs w:val="0"/>
          <w:color w:val="auto"/>
          <w:sz w:val="32"/>
          <w:szCs w:val="32"/>
          <w:highlight w:val="none"/>
          <w:lang w:eastAsia="zh-CN"/>
        </w:rPr>
        <w:t>。</w:t>
      </w:r>
    </w:p>
    <w:p w14:paraId="4F24B1F3">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br w:type="page"/>
      </w:r>
    </w:p>
    <w:p w14:paraId="53E7917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bookmarkStart w:id="1" w:name="_Toc1793"/>
      <w:r>
        <w:rPr>
          <w:rFonts w:hint="eastAsia" w:ascii="楷体_GB2312" w:hAnsi="楷体_GB2312" w:eastAsia="楷体_GB2312" w:cs="楷体_GB2312"/>
          <w:b/>
          <w:bCs/>
          <w:color w:val="auto"/>
          <w:sz w:val="32"/>
          <w:szCs w:val="32"/>
          <w:highlight w:val="none"/>
          <w:lang w:val="en-US" w:eastAsia="zh-CN"/>
        </w:rPr>
        <w:t>灯具通则要求</w:t>
      </w:r>
      <w:bookmarkEnd w:id="1"/>
    </w:p>
    <w:p w14:paraId="05E64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2" w:name="_Toc2014"/>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一般要求</w:t>
      </w:r>
      <w:bookmarkEnd w:id="2"/>
    </w:p>
    <w:p w14:paraId="73CBEED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技术文件详参有规定的，按详参规定执行，没有详参规定的，按照本通则执行。</w:t>
      </w:r>
    </w:p>
    <w:p w14:paraId="2936E69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14:paraId="6A0BC38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本次投标报价包含本技术文件所要求的所有配件及附件。室外的螺杆、螺栓、垫片必须使用304</w:t>
      </w:r>
      <w:r>
        <w:rPr>
          <w:rFonts w:hint="eastAsia" w:ascii="仿宋_GB2312" w:hAnsi="仿宋_GB2312" w:eastAsia="仿宋_GB2312" w:cs="仿宋_GB2312"/>
          <w:color w:val="auto"/>
          <w:sz w:val="32"/>
          <w:szCs w:val="32"/>
          <w:highlight w:val="none"/>
          <w:lang w:val="en-US" w:eastAsia="zh-CN"/>
        </w:rPr>
        <w:t xml:space="preserve">/2B </w:t>
      </w:r>
      <w:r>
        <w:rPr>
          <w:rFonts w:hint="eastAsia" w:ascii="仿宋_GB2312" w:hAnsi="仿宋_GB2312" w:eastAsia="仿宋_GB2312" w:cs="仿宋_GB2312"/>
          <w:color w:val="auto"/>
          <w:sz w:val="32"/>
          <w:szCs w:val="32"/>
          <w:highlight w:val="none"/>
        </w:rPr>
        <w:t>不锈钢材质。</w:t>
      </w:r>
    </w:p>
    <w:p w14:paraId="2872526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bookmarkStart w:id="3" w:name="_Toc24646"/>
      <w:r>
        <w:rPr>
          <w:rFonts w:hint="eastAsia" w:ascii="仿宋_GB2312" w:hAnsi="仿宋_GB2312" w:eastAsia="仿宋_GB2312" w:cs="仿宋_GB2312"/>
          <w:color w:val="auto"/>
          <w:sz w:val="32"/>
          <w:szCs w:val="32"/>
          <w:highlight w:val="none"/>
        </w:rPr>
        <w:t>中标后，中标单位踏勘现场，根据灯具安装条件，深化灯具颜色安装支架</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配件的设计，按照采购单位的要求和项目具体的实施情况及时调整。所有灯具按规定提供灯具实样一款，经采购单位目视检验最终确认后，才能按照灯具订单批量提供灯具，并提供灯具安装说明书。</w:t>
      </w:r>
      <w:bookmarkStart w:id="4" w:name="_Toc15096"/>
    </w:p>
    <w:p w14:paraId="37703A8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中标后灯具供应阶段，灯具抽样</w:t>
      </w:r>
      <w:r>
        <w:rPr>
          <w:rFonts w:hint="eastAsia" w:ascii="仿宋_GB2312" w:hAnsi="仿宋_GB2312" w:eastAsia="仿宋_GB2312" w:cs="仿宋_GB2312"/>
          <w:color w:val="auto"/>
          <w:sz w:val="32"/>
          <w:szCs w:val="32"/>
          <w:highlight w:val="none"/>
          <w:lang w:val="en-US" w:eastAsia="zh-CN"/>
        </w:rPr>
        <w:t>由采购单位</w:t>
      </w:r>
      <w:r>
        <w:rPr>
          <w:rFonts w:hint="eastAsia" w:ascii="仿宋_GB2312" w:hAnsi="仿宋_GB2312" w:eastAsia="仿宋_GB2312" w:cs="仿宋_GB2312"/>
          <w:color w:val="auto"/>
          <w:sz w:val="32"/>
          <w:szCs w:val="32"/>
          <w:highlight w:val="none"/>
        </w:rPr>
        <w:t>送国家</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权威机构检测。</w:t>
      </w:r>
    </w:p>
    <w:p w14:paraId="36B4A77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灯具的工作环境温度：-20℃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+60℃。湿度：0%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90%。在此工作温度、湿度下灯具可连续正常工作，并符合相应的国家灯具规范。</w:t>
      </w:r>
    </w:p>
    <w:p w14:paraId="78B23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2.LED光源要求</w:t>
      </w:r>
      <w:bookmarkEnd w:id="4"/>
    </w:p>
    <w:p w14:paraId="73588A8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该类灯具的主要原材料光源封装颗粒品牌</w:t>
      </w:r>
      <w:r>
        <w:rPr>
          <w:rFonts w:hint="eastAsia" w:ascii="仿宋_GB2312" w:hAnsi="仿宋_GB2312" w:eastAsia="仿宋_GB2312" w:cs="仿宋_GB2312"/>
          <w:b w:val="0"/>
          <w:bCs w:val="0"/>
          <w:color w:val="auto"/>
          <w:sz w:val="32"/>
          <w:szCs w:val="32"/>
          <w:highlight w:val="none"/>
          <w:lang w:val="en-US" w:eastAsia="zh-CN"/>
        </w:rPr>
        <w:t>推荐</w:t>
      </w:r>
      <w:r>
        <w:rPr>
          <w:rFonts w:hint="eastAsia" w:ascii="仿宋_GB2312" w:hAnsi="仿宋_GB2312" w:eastAsia="仿宋_GB2312" w:cs="仿宋_GB2312"/>
          <w:b w:val="0"/>
          <w:bCs w:val="0"/>
          <w:color w:val="auto"/>
          <w:sz w:val="32"/>
          <w:szCs w:val="32"/>
          <w:highlight w:val="none"/>
        </w:rPr>
        <w:t>科锐（CREE）、飞利浦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PHILIPS）、欧司朗（OSRAM）、日亚（NICHIA）。</w:t>
      </w:r>
    </w:p>
    <w:p w14:paraId="175E6AC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LED单色芯片的色差必须符合下表的要求</w:t>
      </w:r>
      <w:r>
        <w:rPr>
          <w:rFonts w:hint="eastAsia" w:ascii="仿宋_GB2312" w:hAnsi="仿宋_GB2312" w:eastAsia="仿宋_GB2312" w:cs="仿宋_GB2312"/>
          <w:color w:val="auto"/>
          <w:sz w:val="32"/>
          <w:szCs w:val="32"/>
          <w:highlight w:val="none"/>
          <w:lang w:eastAsia="zh-CN"/>
        </w:rPr>
        <w:t>：</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028"/>
        <w:gridCol w:w="3570"/>
      </w:tblGrid>
      <w:tr w14:paraId="000E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shd w:val="clear" w:color="auto" w:fill="auto"/>
            <w:vAlign w:val="center"/>
          </w:tcPr>
          <w:p w14:paraId="6BF42A19">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4028" w:type="dxa"/>
            <w:shd w:val="clear" w:color="auto" w:fill="auto"/>
            <w:vAlign w:val="center"/>
          </w:tcPr>
          <w:p w14:paraId="395413A1">
            <w:pPr>
              <w:pageBreakBefore w:val="0"/>
              <w:kinsoku/>
              <w:wordWrap/>
              <w:overflowPunct/>
              <w:topLinePunct w:val="0"/>
              <w:bidi w:val="0"/>
              <w:spacing w:line="56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色温/色彩</w:t>
            </w:r>
          </w:p>
        </w:tc>
        <w:tc>
          <w:tcPr>
            <w:tcW w:w="3570" w:type="dxa"/>
            <w:shd w:val="clear" w:color="auto" w:fill="auto"/>
          </w:tcPr>
          <w:p w14:paraId="048CBEEE">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偏差</w:t>
            </w:r>
          </w:p>
        </w:tc>
      </w:tr>
      <w:tr w14:paraId="0EBB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14:paraId="5DD5196D">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c>
          <w:tcPr>
            <w:tcW w:w="4028" w:type="dxa"/>
            <w:vAlign w:val="center"/>
          </w:tcPr>
          <w:p w14:paraId="39552ABB">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2200K～3000K</w:t>
            </w:r>
          </w:p>
        </w:tc>
        <w:tc>
          <w:tcPr>
            <w:tcW w:w="3570" w:type="dxa"/>
            <w:vAlign w:val="center"/>
          </w:tcPr>
          <w:p w14:paraId="6C72C605">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±50</w:t>
            </w:r>
          </w:p>
        </w:tc>
      </w:tr>
    </w:tbl>
    <w:p w14:paraId="0CCC1A9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白光LED灯具的色容差应符合以下规定：同型号白光LED灯具，色容差</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SDCM。</w:t>
      </w:r>
    </w:p>
    <w:p w14:paraId="2C8A965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当照射对象为纯色物体时，灯具色容差</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5SDCM。</w:t>
      </w:r>
    </w:p>
    <w:p w14:paraId="4E7BFD99">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LED</w:t>
      </w:r>
      <w:r>
        <w:rPr>
          <w:rFonts w:hint="eastAsia" w:ascii="仿宋_GB2312" w:hAnsi="仿宋_GB2312" w:eastAsia="仿宋_GB2312" w:cs="仿宋_GB2312"/>
          <w:b w:val="0"/>
          <w:bCs w:val="0"/>
          <w:color w:val="auto"/>
          <w:sz w:val="32"/>
          <w:szCs w:val="32"/>
          <w:highlight w:val="none"/>
          <w:lang w:val="en-US" w:eastAsia="zh-CN"/>
        </w:rPr>
        <w:t>光源</w:t>
      </w:r>
      <w:r>
        <w:rPr>
          <w:rFonts w:hint="eastAsia" w:ascii="仿宋_GB2312" w:hAnsi="仿宋_GB2312" w:eastAsia="仿宋_GB2312" w:cs="仿宋_GB2312"/>
          <w:b w:val="0"/>
          <w:bCs w:val="0"/>
          <w:color w:val="auto"/>
          <w:sz w:val="32"/>
          <w:szCs w:val="32"/>
          <w:highlight w:val="none"/>
        </w:rPr>
        <w:t>应满足拥有LM-80认证，</w:t>
      </w:r>
      <w:r>
        <w:rPr>
          <w:rFonts w:hint="eastAsia" w:ascii="仿宋_GB2312" w:hAnsi="仿宋_GB2312" w:eastAsia="仿宋_GB2312" w:cs="仿宋_GB2312"/>
          <w:b w:val="0"/>
          <w:bCs w:val="0"/>
          <w:color w:val="auto"/>
          <w:sz w:val="32"/>
          <w:szCs w:val="32"/>
          <w:highlight w:val="none"/>
          <w:lang w:val="en-US" w:eastAsia="zh-CN"/>
        </w:rPr>
        <w:t>光源</w:t>
      </w:r>
      <w:r>
        <w:rPr>
          <w:rFonts w:hint="eastAsia" w:ascii="仿宋_GB2312" w:hAnsi="仿宋_GB2312" w:eastAsia="仿宋_GB2312" w:cs="仿宋_GB2312"/>
          <w:b w:val="0"/>
          <w:bCs w:val="0"/>
          <w:color w:val="auto"/>
          <w:sz w:val="32"/>
          <w:szCs w:val="32"/>
          <w:highlight w:val="none"/>
        </w:rPr>
        <w:t>寿命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5万小时。</w:t>
      </w:r>
    </w:p>
    <w:p w14:paraId="2F6227C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LED颗粒的显色指数（CRI）：白光LED一般显色指数Ra</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80</w:t>
      </w:r>
      <w:r>
        <w:rPr>
          <w:rFonts w:hint="eastAsia" w:ascii="仿宋_GB2312" w:hAnsi="仿宋_GB2312" w:eastAsia="仿宋_GB2312" w:cs="仿宋_GB2312"/>
          <w:b w:val="0"/>
          <w:bCs w:val="0"/>
          <w:color w:val="auto"/>
          <w:sz w:val="32"/>
          <w:szCs w:val="32"/>
        </w:rPr>
        <w:t>，且R9＞0。</w:t>
      </w:r>
    </w:p>
    <w:p w14:paraId="11D0AE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5" w:name="_Toc13353"/>
      <w:r>
        <w:rPr>
          <w:rFonts w:hint="eastAsia" w:ascii="仿宋_GB2312" w:hAnsi="仿宋_GB2312" w:eastAsia="仿宋_GB2312" w:cs="仿宋_GB2312"/>
          <w:b/>
          <w:bCs/>
          <w:color w:val="auto"/>
          <w:sz w:val="32"/>
          <w:szCs w:val="32"/>
          <w:highlight w:val="none"/>
          <w:lang w:val="en-US" w:eastAsia="zh-CN"/>
        </w:rPr>
        <w:t>3.外观及结构要求</w:t>
      </w:r>
      <w:bookmarkEnd w:id="5"/>
    </w:p>
    <w:p w14:paraId="6E349B4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外观质量：灯具的表面应光滑，以防污物堆积和便于清洗;无损伤、变形、涂层剥落，玻璃罩应无气泡、明显划痕和裂纹等缺陷。</w:t>
      </w:r>
    </w:p>
    <w:p w14:paraId="3E07799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外形尺寸：允许偏差范围标明区间的灯具尺寸在要求范围内为满足要求；未标明尺寸允许偏差范围的灯具尺寸上下浮动10%为满足要求。</w:t>
      </w:r>
    </w:p>
    <w:p w14:paraId="6201D134">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安装和位置尺寸：未标明尺寸允许偏差范围的按照GB-T1804的精度M级别标准执行。</w:t>
      </w:r>
    </w:p>
    <w:p w14:paraId="539E4284">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应安装方便，灯具出线方式不能影响现场安装。投光类灯具安装角度应能灵活调节。确定安装角度后，灯具有锁死固定功能。灯具应有特设的导线出(入)口密封装置。灯具内应有电源接线端子，外部接线和内部接线穿过硬质材料时应有保护措施。灯具应配备一个耐温度骤变、废气、烟雾和其他化学物质的钢化玻璃罩。</w:t>
      </w:r>
    </w:p>
    <w:p w14:paraId="5AA459D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所有LED灯具引出线线径应符合GB7000.1（灯具 第1部分：一般要求与试验）的要求，引出线长度按照现场安装情况提供，确保灯与灯之间连线符合最优化。一个回路的灯具可成串提供，灯具引出线满足现场安装要求。 芯线颜色必须符合国标要求，且有明显区别。</w:t>
      </w:r>
    </w:p>
    <w:p w14:paraId="0FDDA79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有针对感应雷击及静电的专用防护元件，器件性能符合IEC61000-4-4（电磁兼容-第4-4部分:试验和测量技术-电快速瞬变脉冲群抗扰度试验）的检测标准。</w:t>
      </w:r>
    </w:p>
    <w:p w14:paraId="38A79BB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明装灯具及其安装附件及嵌装灯具的颜色纹理需与背景墙面颜色一致，由</w:t>
      </w:r>
      <w:r>
        <w:rPr>
          <w:rFonts w:hint="eastAsia" w:ascii="仿宋_GB2312" w:hAnsi="仿宋_GB2312" w:eastAsia="仿宋_GB2312" w:cs="仿宋_GB2312"/>
          <w:b w:val="0"/>
          <w:bCs w:val="0"/>
          <w:color w:val="auto"/>
          <w:sz w:val="32"/>
          <w:szCs w:val="32"/>
          <w:highlight w:val="none"/>
          <w:lang w:val="en-US" w:eastAsia="zh-CN"/>
        </w:rPr>
        <w:t>采购单位</w:t>
      </w:r>
      <w:r>
        <w:rPr>
          <w:rFonts w:hint="eastAsia" w:ascii="仿宋_GB2312" w:hAnsi="仿宋_GB2312" w:eastAsia="仿宋_GB2312" w:cs="仿宋_GB2312"/>
          <w:b w:val="0"/>
          <w:bCs w:val="0"/>
          <w:color w:val="auto"/>
          <w:sz w:val="32"/>
          <w:szCs w:val="32"/>
          <w:highlight w:val="none"/>
        </w:rPr>
        <w:t>确定色卡号。</w:t>
      </w:r>
    </w:p>
    <w:p w14:paraId="232CB8F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灯具必须采用结</w:t>
      </w:r>
      <w:r>
        <w:rPr>
          <w:rFonts w:hint="eastAsia" w:ascii="仿宋_GB2312" w:hAnsi="仿宋_GB2312" w:eastAsia="仿宋_GB2312" w:cs="仿宋_GB2312"/>
          <w:b w:val="0"/>
          <w:bCs w:val="0"/>
          <w:color w:val="auto"/>
          <w:sz w:val="32"/>
          <w:szCs w:val="32"/>
          <w:highlight w:val="none"/>
        </w:rPr>
        <w:t>构防水，防护等级</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。灯具防尘防水等级（IP等级）指</w:t>
      </w:r>
      <w:r>
        <w:rPr>
          <w:rFonts w:hint="eastAsia" w:ascii="仿宋_GB2312" w:hAnsi="仿宋_GB2312" w:eastAsia="仿宋_GB2312" w:cs="仿宋_GB2312"/>
          <w:b w:val="0"/>
          <w:bCs w:val="0"/>
          <w:color w:val="auto"/>
          <w:sz w:val="32"/>
          <w:szCs w:val="32"/>
          <w:highlight w:val="none"/>
        </w:rPr>
        <w:t>：防水接头、接线、匹配电源、灯具四部分的防尘防水等级。</w:t>
      </w:r>
      <w:r>
        <w:rPr>
          <w:rFonts w:hint="eastAsia" w:ascii="仿宋_GB2312" w:hAnsi="仿宋_GB2312" w:eastAsia="仿宋_GB2312" w:cs="仿宋_GB2312"/>
          <w:b w:val="0"/>
          <w:bCs w:val="0"/>
          <w:color w:val="auto"/>
          <w:sz w:val="32"/>
          <w:szCs w:val="32"/>
          <w:highlight w:val="none"/>
          <w:lang w:val="en-US" w:eastAsia="zh-CN"/>
        </w:rPr>
        <w:t>公母头、三通等辅材的</w:t>
      </w:r>
      <w:r>
        <w:rPr>
          <w:rFonts w:hint="eastAsia" w:ascii="仿宋_GB2312" w:hAnsi="仿宋_GB2312" w:eastAsia="仿宋_GB2312" w:cs="仿宋_GB2312"/>
          <w:b w:val="0"/>
          <w:bCs w:val="0"/>
          <w:color w:val="auto"/>
          <w:sz w:val="32"/>
          <w:szCs w:val="32"/>
          <w:highlight w:val="none"/>
        </w:rPr>
        <w:t>防护等级</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IP6</w:t>
      </w:r>
      <w:r>
        <w:rPr>
          <w:rFonts w:hint="eastAsia" w:ascii="仿宋_GB2312" w:hAnsi="仿宋_GB2312" w:eastAsia="仿宋_GB2312" w:cs="仿宋_GB2312"/>
          <w:b w:val="0"/>
          <w:bCs w:val="0"/>
          <w:color w:val="auto"/>
          <w:sz w:val="32"/>
          <w:szCs w:val="32"/>
          <w:highlight w:val="none"/>
          <w:lang w:val="en-US" w:eastAsia="zh-CN"/>
        </w:rPr>
        <w:t>6。</w:t>
      </w:r>
    </w:p>
    <w:p w14:paraId="6E96F1AE">
      <w:pPr>
        <w:pStyle w:val="5"/>
        <w:numPr>
          <w:ilvl w:val="0"/>
          <w:numId w:val="7"/>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bookmarkStart w:id="6" w:name="_Toc20504"/>
      <w:r>
        <w:rPr>
          <w:rFonts w:hint="eastAsia" w:ascii="仿宋_GB2312" w:hAnsi="仿宋_GB2312" w:eastAsia="仿宋_GB2312" w:cs="仿宋_GB2312"/>
          <w:b w:val="0"/>
          <w:bCs w:val="0"/>
          <w:color w:val="auto"/>
          <w:kern w:val="2"/>
          <w:sz w:val="32"/>
          <w:szCs w:val="32"/>
          <w:highlight w:val="none"/>
          <w:lang w:val="en-US" w:eastAsia="zh-CN" w:bidi="ar-SA"/>
        </w:rPr>
        <w:t>公母接头要求:①采用金属头实心针。②线缆内部芯橡胶圆线应采用耐温为-40℃～105℃、阻燃为UL-VW0的安全材质。③线材电缆应具备国标3C认证及美标UL认证，线缆内部芯电线线径不低于0.75平方。④接触件材质为阻燃尼龙，无论在任何情况下都无法燃烧融化，安全系数高。⑤制作工艺采用一体式注塑成型，无灌胶，接头材质具有PVCR0HS环保认证。</w:t>
      </w:r>
    </w:p>
    <w:p w14:paraId="55743B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4.材料要求</w:t>
      </w:r>
      <w:bookmarkEnd w:id="6"/>
    </w:p>
    <w:p w14:paraId="3558272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14:paraId="6D0C5B2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lang w:val="en-US" w:eastAsia="zh-CN"/>
        </w:rPr>
        <w:t>灯具结构式防水，严禁外部打胶。</w:t>
      </w:r>
      <w:r>
        <w:rPr>
          <w:rFonts w:hint="eastAsia" w:ascii="仿宋_GB2312" w:hAnsi="仿宋_GB2312" w:eastAsia="仿宋_GB2312" w:cs="仿宋_GB2312"/>
          <w:b w:val="0"/>
          <w:bCs w:val="0"/>
          <w:color w:val="auto"/>
          <w:sz w:val="32"/>
          <w:szCs w:val="32"/>
          <w:highlight w:val="none"/>
        </w:rPr>
        <w:t xml:space="preserve">灯具密封圈需采用抗老化硅橡胶圈或同等、优于该材料。应耐温、耐老化和耐道路上可能出现的腐蚀性气体，并应方便更换。 </w:t>
      </w:r>
    </w:p>
    <w:p w14:paraId="7407FF8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14:paraId="55B18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7" w:name="_Toc19172"/>
      <w:r>
        <w:rPr>
          <w:rFonts w:hint="eastAsia" w:ascii="仿宋_GB2312" w:hAnsi="仿宋_GB2312" w:eastAsia="仿宋_GB2312" w:cs="仿宋_GB2312"/>
          <w:b/>
          <w:bCs/>
          <w:color w:val="auto"/>
          <w:sz w:val="32"/>
          <w:szCs w:val="32"/>
          <w:highlight w:val="none"/>
          <w:lang w:val="en-US" w:eastAsia="zh-CN"/>
        </w:rPr>
        <w:t>5.耐腐蚀性要求</w:t>
      </w:r>
      <w:bookmarkEnd w:id="7"/>
    </w:p>
    <w:p w14:paraId="5AE32CD1">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体材质表面应有耐腐蚀、抗破坏处理手段，处理工艺需达10年使用寿命。</w:t>
      </w:r>
      <w:r>
        <w:rPr>
          <w:rFonts w:hint="eastAsia" w:ascii="仿宋_GB2312" w:hAnsi="仿宋_GB2312" w:eastAsia="仿宋_GB2312" w:cs="仿宋_GB2312"/>
          <w:color w:val="auto"/>
          <w:sz w:val="32"/>
          <w:szCs w:val="32"/>
          <w:highlight w:val="none"/>
          <w:lang w:val="en-US" w:eastAsia="zh-CN"/>
        </w:rPr>
        <w:t>亚</w:t>
      </w:r>
      <w:r>
        <w:rPr>
          <w:rFonts w:hint="eastAsia" w:ascii="仿宋_GB2312" w:hAnsi="仿宋_GB2312" w:eastAsia="仿宋_GB2312" w:cs="仿宋_GB2312"/>
          <w:color w:val="auto"/>
          <w:sz w:val="32"/>
          <w:szCs w:val="32"/>
          <w:highlight w:val="none"/>
        </w:rPr>
        <w:t>克力材料部分保证5年不发黄。</w:t>
      </w:r>
    </w:p>
    <w:p w14:paraId="722F1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8" w:name="_Toc6693"/>
      <w:bookmarkStart w:id="9" w:name="_Toc4937"/>
      <w:bookmarkStart w:id="10" w:name="_Toc2295"/>
      <w:bookmarkStart w:id="11" w:name="_Toc9926"/>
      <w:bookmarkStart w:id="12" w:name="_Toc20838"/>
      <w:r>
        <w:rPr>
          <w:rFonts w:hint="eastAsia" w:ascii="仿宋_GB2312" w:hAnsi="仿宋_GB2312" w:eastAsia="仿宋_GB2312" w:cs="仿宋_GB2312"/>
          <w:b/>
          <w:bCs/>
          <w:color w:val="auto"/>
          <w:sz w:val="32"/>
          <w:szCs w:val="32"/>
          <w:highlight w:val="none"/>
          <w:lang w:val="en-US" w:eastAsia="zh-CN"/>
        </w:rPr>
        <w:t>6.电磁兼容</w:t>
      </w:r>
      <w:bookmarkEnd w:id="8"/>
      <w:bookmarkEnd w:id="9"/>
      <w:bookmarkEnd w:id="10"/>
      <w:bookmarkEnd w:id="11"/>
      <w:r>
        <w:rPr>
          <w:rFonts w:hint="eastAsia" w:ascii="仿宋_GB2312" w:hAnsi="仿宋_GB2312" w:eastAsia="仿宋_GB2312" w:cs="仿宋_GB2312"/>
          <w:b/>
          <w:bCs/>
          <w:color w:val="auto"/>
          <w:sz w:val="32"/>
          <w:szCs w:val="32"/>
          <w:highlight w:val="none"/>
          <w:lang w:val="en-US" w:eastAsia="zh-CN"/>
        </w:rPr>
        <w:t>要求</w:t>
      </w:r>
      <w:bookmarkEnd w:id="12"/>
    </w:p>
    <w:p w14:paraId="732977F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灯具的无线电骚扰特性应符合GB 17743的要求。</w:t>
      </w:r>
    </w:p>
    <w:p w14:paraId="510811A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灯具电磁兼容抗扰度应符合GB/T 18595 的要求。</w:t>
      </w:r>
    </w:p>
    <w:p w14:paraId="354CFB7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灯具的输入电流谐波应符合GB l7625.1的要求。</w:t>
      </w:r>
    </w:p>
    <w:p w14:paraId="2AF0A768">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LED电子控制装置应采用高压输出的LED电子控制装置，输出电流不超过1.5A。并应符合GB 19510.14的规定。</w:t>
      </w:r>
    </w:p>
    <w:p w14:paraId="03197CE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LED灯具的蓝光控制应符合GB 7000.1的规定。</w:t>
      </w:r>
    </w:p>
    <w:p w14:paraId="7DED7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color w:val="auto"/>
          <w:highlight w:val="none"/>
          <w:lang w:val="en-US"/>
        </w:rPr>
      </w:pPr>
      <w:r>
        <w:rPr>
          <w:rFonts w:hint="eastAsia" w:ascii="仿宋_GB2312" w:hAnsi="仿宋_GB2312" w:eastAsia="仿宋_GB2312" w:cs="仿宋_GB2312"/>
          <w:b/>
          <w:bCs/>
          <w:color w:val="auto"/>
          <w:sz w:val="32"/>
          <w:szCs w:val="32"/>
          <w:highlight w:val="none"/>
          <w:lang w:val="en-US" w:eastAsia="zh-CN"/>
        </w:rPr>
        <w:t>7.灯具寿命、光衰、散热等要求</w:t>
      </w:r>
    </w:p>
    <w:p w14:paraId="5D7B41F3">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灯的光源寿命</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5万小时。</w:t>
      </w:r>
    </w:p>
    <w:p w14:paraId="08EEEE0C">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灯在燃点3千小时时，其光通维持率应</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96%；在燃点6千小时时，其光通维持率应</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92%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在燃点</w:t>
      </w:r>
      <w:r>
        <w:rPr>
          <w:rFonts w:hint="eastAsia" w:ascii="仿宋_GB2312" w:hAnsi="仿宋_GB2312" w:eastAsia="仿宋_GB2312" w:cs="仿宋_GB2312"/>
          <w:b w:val="0"/>
          <w:bCs w:val="0"/>
          <w:color w:val="auto"/>
          <w:sz w:val="32"/>
          <w:szCs w:val="32"/>
          <w:highlight w:val="none"/>
          <w:lang w:val="en-US" w:eastAsia="zh-CN"/>
        </w:rPr>
        <w:t>2.5万</w:t>
      </w:r>
      <w:r>
        <w:rPr>
          <w:rFonts w:hint="eastAsia" w:ascii="仿宋_GB2312" w:hAnsi="仿宋_GB2312" w:eastAsia="仿宋_GB2312" w:cs="仿宋_GB2312"/>
          <w:b w:val="0"/>
          <w:bCs w:val="0"/>
          <w:color w:val="auto"/>
          <w:sz w:val="32"/>
          <w:szCs w:val="32"/>
          <w:highlight w:val="none"/>
        </w:rPr>
        <w:t>小时，其光通维持率应</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70</w:t>
      </w:r>
      <w:r>
        <w:rPr>
          <w:rFonts w:hint="eastAsia" w:ascii="仿宋_GB2312" w:hAnsi="仿宋_GB2312" w:eastAsia="仿宋_GB2312" w:cs="仿宋_GB2312"/>
          <w:b w:val="0"/>
          <w:bCs w:val="0"/>
          <w:color w:val="auto"/>
          <w:sz w:val="32"/>
          <w:szCs w:val="32"/>
          <w:highlight w:val="none"/>
        </w:rPr>
        <w:t>%。</w:t>
      </w:r>
    </w:p>
    <w:p w14:paraId="610565F0">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灯的初始光通量（灯具入库或到达安装现场的时间点）可由制造商或销售商标称，但其标称值的95%</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实测值</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标称值的105%。</w:t>
      </w:r>
    </w:p>
    <w:p w14:paraId="41C15B8D">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所有LED灯具外壳温度满载负荷</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小时候后，</w:t>
      </w:r>
      <w:r>
        <w:rPr>
          <w:rFonts w:hint="eastAsia" w:ascii="仿宋_GB2312" w:hAnsi="仿宋_GB2312" w:eastAsia="仿宋_GB2312" w:cs="仿宋_GB2312"/>
          <w:b w:val="0"/>
          <w:bCs w:val="0"/>
          <w:color w:val="auto"/>
          <w:sz w:val="32"/>
          <w:szCs w:val="32"/>
          <w:highlight w:val="none"/>
          <w:lang w:val="en-US" w:eastAsia="zh-CN"/>
        </w:rPr>
        <w:t>最高</w:t>
      </w:r>
      <w:r>
        <w:rPr>
          <w:rFonts w:hint="eastAsia" w:ascii="仿宋_GB2312" w:hAnsi="仿宋_GB2312" w:eastAsia="仿宋_GB2312" w:cs="仿宋_GB2312"/>
          <w:b w:val="0"/>
          <w:bCs w:val="0"/>
          <w:color w:val="auto"/>
          <w:sz w:val="32"/>
          <w:szCs w:val="32"/>
          <w:highlight w:val="none"/>
        </w:rPr>
        <w:t>温度升高</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30℃。现场安装后抽检灯具的外壳温度。芯片引脚满载</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小时后，</w:t>
      </w:r>
      <w:r>
        <w:rPr>
          <w:rFonts w:hint="eastAsia" w:ascii="仿宋_GB2312" w:hAnsi="仿宋_GB2312" w:eastAsia="仿宋_GB2312" w:cs="仿宋_GB2312"/>
          <w:b w:val="0"/>
          <w:bCs w:val="0"/>
          <w:color w:val="auto"/>
          <w:sz w:val="32"/>
          <w:szCs w:val="32"/>
          <w:highlight w:val="none"/>
          <w:lang w:val="en-US" w:eastAsia="zh-CN"/>
        </w:rPr>
        <w:t>最高</w:t>
      </w:r>
      <w:r>
        <w:rPr>
          <w:rFonts w:hint="eastAsia" w:ascii="仿宋_GB2312" w:hAnsi="仿宋_GB2312" w:eastAsia="仿宋_GB2312" w:cs="仿宋_GB2312"/>
          <w:b w:val="0"/>
          <w:bCs w:val="0"/>
          <w:color w:val="auto"/>
          <w:sz w:val="32"/>
          <w:szCs w:val="32"/>
          <w:highlight w:val="none"/>
        </w:rPr>
        <w:t>温度升高</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60℃。</w:t>
      </w:r>
      <w:bookmarkEnd w:id="3"/>
      <w:bookmarkStart w:id="13" w:name="_Toc10067"/>
      <w:bookmarkStart w:id="14" w:name="_Toc11963"/>
    </w:p>
    <w:p w14:paraId="477BD225">
      <w:pPr>
        <w:pStyle w:val="5"/>
        <w:numPr>
          <w:ilvl w:val="0"/>
          <w:numId w:val="10"/>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LED电路板封装不得存在明显瑕疵，从而导致灯具的绝缘、抗腐蚀、短路等问题，电路板不得使用电解电容。</w:t>
      </w:r>
    </w:p>
    <w:bookmarkEnd w:id="13"/>
    <w:bookmarkEnd w:id="14"/>
    <w:p w14:paraId="681F2A75">
      <w:pPr>
        <w:numPr>
          <w:ilvl w:val="0"/>
          <w:numId w:val="4"/>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bookmarkStart w:id="15" w:name="_Toc13459"/>
      <w:r>
        <w:rPr>
          <w:rFonts w:hint="eastAsia" w:ascii="楷体_GB2312" w:hAnsi="楷体_GB2312" w:eastAsia="楷体_GB2312" w:cs="楷体_GB2312"/>
          <w:b/>
          <w:bCs/>
          <w:color w:val="auto"/>
          <w:sz w:val="32"/>
          <w:szCs w:val="32"/>
          <w:highlight w:val="none"/>
          <w:lang w:val="en-US" w:eastAsia="zh-CN"/>
        </w:rPr>
        <w:t>景观灯具通用检测要求</w:t>
      </w:r>
      <w:bookmarkEnd w:id="15"/>
    </w:p>
    <w:p w14:paraId="290C9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6" w:name="_Toc30365"/>
      <w:r>
        <w:rPr>
          <w:rFonts w:hint="eastAsia" w:ascii="仿宋_GB2312" w:hAnsi="仿宋_GB2312" w:eastAsia="仿宋_GB2312" w:cs="仿宋_GB2312"/>
          <w:b/>
          <w:bCs/>
          <w:color w:val="auto"/>
          <w:sz w:val="32"/>
          <w:szCs w:val="32"/>
          <w:highlight w:val="none"/>
          <w:lang w:val="en-US" w:eastAsia="zh-CN"/>
        </w:rPr>
        <w:t>1.说明</w:t>
      </w:r>
      <w:bookmarkEnd w:id="16"/>
    </w:p>
    <w:p w14:paraId="7A1F88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17" w:name="_Toc6588"/>
      <w:r>
        <w:rPr>
          <w:rFonts w:hint="eastAsia" w:ascii="仿宋_GB2312" w:hAnsi="仿宋_GB2312" w:eastAsia="仿宋_GB2312" w:cs="仿宋_GB2312"/>
          <w:b/>
          <w:bCs/>
          <w:color w:val="auto"/>
          <w:sz w:val="32"/>
          <w:szCs w:val="32"/>
          <w:highlight w:val="none"/>
        </w:rPr>
        <w:t>所有检测机构均必须为“国家级权威检测机构”。</w:t>
      </w:r>
    </w:p>
    <w:p w14:paraId="09C10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2.灯具不同阶段检测项目</w:t>
      </w:r>
      <w:bookmarkEnd w:id="17"/>
    </w:p>
    <w:tbl>
      <w:tblPr>
        <w:tblStyle w:val="3"/>
        <w:tblW w:w="9826" w:type="dxa"/>
        <w:jc w:val="center"/>
        <w:tblLayout w:type="fixed"/>
        <w:tblCellMar>
          <w:top w:w="0" w:type="dxa"/>
          <w:left w:w="0" w:type="dxa"/>
          <w:bottom w:w="0" w:type="dxa"/>
          <w:right w:w="0" w:type="dxa"/>
        </w:tblCellMar>
      </w:tblPr>
      <w:tblGrid>
        <w:gridCol w:w="807"/>
        <w:gridCol w:w="5995"/>
        <w:gridCol w:w="1512"/>
        <w:gridCol w:w="1512"/>
      </w:tblGrid>
      <w:tr w14:paraId="58AD3329">
        <w:tblPrEx>
          <w:tblCellMar>
            <w:top w:w="0" w:type="dxa"/>
            <w:left w:w="0" w:type="dxa"/>
            <w:bottom w:w="0" w:type="dxa"/>
            <w:right w:w="0" w:type="dxa"/>
          </w:tblCellMar>
        </w:tblPrEx>
        <w:trPr>
          <w:trHeight w:val="1669" w:hRule="atLeast"/>
          <w:tblHeader/>
          <w:jc w:val="center"/>
        </w:trPr>
        <w:tc>
          <w:tcPr>
            <w:tcW w:w="807" w:type="dxa"/>
            <w:tcBorders>
              <w:top w:val="single" w:color="000000" w:sz="4" w:space="0"/>
              <w:left w:val="single" w:color="000000" w:sz="4" w:space="0"/>
              <w:right w:val="single" w:color="000000" w:sz="4" w:space="0"/>
            </w:tcBorders>
            <w:shd w:val="clear" w:color="auto" w:fill="auto"/>
            <w:tcMar>
              <w:top w:w="4" w:type="dxa"/>
              <w:left w:w="4" w:type="dxa"/>
              <w:bottom w:w="0" w:type="dxa"/>
              <w:right w:w="4" w:type="dxa"/>
            </w:tcMar>
            <w:vAlign w:val="center"/>
          </w:tcPr>
          <w:p w14:paraId="1E04B005">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序号</w:t>
            </w:r>
          </w:p>
        </w:tc>
        <w:tc>
          <w:tcPr>
            <w:tcW w:w="5995"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473EF700">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检测项目</w:t>
            </w:r>
          </w:p>
        </w:tc>
        <w:tc>
          <w:tcPr>
            <w:tcW w:w="1512"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2D2416CC">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质保期间</w:t>
            </w:r>
          </w:p>
          <w:p w14:paraId="73FCA830">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全部灯具</w:t>
            </w:r>
          </w:p>
          <w:p w14:paraId="7A646DB6">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抽检项目</w:t>
            </w:r>
          </w:p>
        </w:tc>
        <w:tc>
          <w:tcPr>
            <w:tcW w:w="1512"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62B70521">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投标前指定灯具需检测项目</w:t>
            </w:r>
          </w:p>
        </w:tc>
      </w:tr>
      <w:tr w14:paraId="25C3DCA4">
        <w:tblPrEx>
          <w:tblCellMar>
            <w:top w:w="0" w:type="dxa"/>
            <w:left w:w="0" w:type="dxa"/>
            <w:bottom w:w="0" w:type="dxa"/>
            <w:right w:w="0" w:type="dxa"/>
          </w:tblCellMar>
        </w:tblPrEx>
        <w:trPr>
          <w:trHeight w:val="90" w:hRule="atLeast"/>
          <w:jc w:val="center"/>
        </w:trPr>
        <w:tc>
          <w:tcPr>
            <w:tcW w:w="9826" w:type="dxa"/>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404D3681">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安规项目</w:t>
            </w:r>
          </w:p>
        </w:tc>
      </w:tr>
      <w:tr w14:paraId="263F1762">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5E7DAD53">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bookmarkStart w:id="23" w:name="_GoBack" w:colFirst="3" w:colLast="3"/>
            <w:r>
              <w:rPr>
                <w:rFonts w:hint="eastAsia" w:ascii="仿宋_GB2312" w:hAnsi="仿宋_GB2312" w:eastAsia="仿宋_GB2312" w:cs="仿宋_GB2312"/>
                <w:color w:val="auto"/>
                <w:sz w:val="32"/>
                <w:szCs w:val="32"/>
                <w:highlight w:val="none"/>
              </w:rPr>
              <w:t>1</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3C35197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外部接线和内部接线</w:t>
            </w:r>
          </w:p>
        </w:tc>
        <w:tc>
          <w:tcPr>
            <w:tcW w:w="1512" w:type="dxa"/>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68D24215">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w:t>
            </w:r>
          </w:p>
        </w:tc>
        <w:tc>
          <w:tcPr>
            <w:tcW w:w="1512" w:type="dxa"/>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76987AAA">
            <w:pPr>
              <w:pageBreakBefore w:val="0"/>
              <w:kinsoku/>
              <w:wordWrap/>
              <w:overflowPunct/>
              <w:topLinePunct w:val="0"/>
              <w:bidi w:val="0"/>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w:t>
            </w:r>
          </w:p>
        </w:tc>
      </w:tr>
      <w:tr w14:paraId="034024B3">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044F0C94">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743F24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防尘、防固体异物和防水：</w:t>
            </w:r>
            <w:r>
              <w:rPr>
                <w:rFonts w:hint="eastAsia" w:ascii="仿宋_GB2312" w:hAnsi="仿宋_GB2312" w:eastAsia="仿宋_GB2312" w:cs="仿宋_GB2312"/>
                <w:color w:val="auto"/>
                <w:kern w:val="0"/>
                <w:sz w:val="32"/>
                <w:szCs w:val="32"/>
                <w:highlight w:val="none"/>
                <w:lang w:eastAsia="zh-CN"/>
              </w:rPr>
              <w:t>≥IP6</w:t>
            </w:r>
            <w:r>
              <w:rPr>
                <w:rFonts w:hint="eastAsia" w:ascii="仿宋_GB2312" w:hAnsi="仿宋_GB2312" w:eastAsia="仿宋_GB2312" w:cs="仿宋_GB2312"/>
                <w:color w:val="auto"/>
                <w:kern w:val="0"/>
                <w:sz w:val="32"/>
                <w:szCs w:val="32"/>
                <w:highlight w:val="none"/>
                <w:lang w:val="en-US" w:eastAsia="zh-CN"/>
              </w:rPr>
              <w:t>5</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B513C6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0BB2533">
            <w:pPr>
              <w:pageBreakBefore w:val="0"/>
              <w:widowControl/>
              <w:kinsoku/>
              <w:wordWrap/>
              <w:overflowPunct/>
              <w:topLinePunct w:val="0"/>
              <w:bidi w:val="0"/>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w:t>
            </w:r>
          </w:p>
        </w:tc>
      </w:tr>
      <w:tr w14:paraId="60C919D2">
        <w:tblPrEx>
          <w:tblCellMar>
            <w:top w:w="0" w:type="dxa"/>
            <w:left w:w="0" w:type="dxa"/>
            <w:bottom w:w="0" w:type="dxa"/>
            <w:right w:w="0" w:type="dxa"/>
          </w:tblCellMar>
        </w:tblPrEx>
        <w:trPr>
          <w:trHeight w:val="468"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0B346ED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2D5B09C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潮湿后的绝缘电阻和电气强度</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C0D59B4">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10AFE0A">
            <w:pPr>
              <w:pageBreakBefore w:val="0"/>
              <w:widowControl/>
              <w:kinsoku/>
              <w:wordWrap/>
              <w:overflowPunct/>
              <w:topLinePunct w:val="0"/>
              <w:bidi w:val="0"/>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w:t>
            </w:r>
          </w:p>
        </w:tc>
      </w:tr>
      <w:bookmarkEnd w:id="23"/>
      <w:tr w14:paraId="1363B458">
        <w:tblPrEx>
          <w:tblCellMar>
            <w:top w:w="0" w:type="dxa"/>
            <w:left w:w="0" w:type="dxa"/>
            <w:bottom w:w="0" w:type="dxa"/>
            <w:right w:w="0" w:type="dxa"/>
          </w:tblCellMar>
        </w:tblPrEx>
        <w:trPr>
          <w:trHeight w:val="468" w:hRule="atLeast"/>
          <w:jc w:val="center"/>
        </w:trPr>
        <w:tc>
          <w:tcPr>
            <w:tcW w:w="9826" w:type="dxa"/>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1AEB6FF1">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二、光学项目</w:t>
            </w:r>
          </w:p>
        </w:tc>
      </w:tr>
      <w:tr w14:paraId="724E77B4">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19AD906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F1F7AE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色度参数：相关色温、色容差、显色指数</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34D757AF">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35BF209">
            <w:pPr>
              <w:pageBreakBefore w:val="0"/>
              <w:kinsoku/>
              <w:wordWrap/>
              <w:overflowPunct/>
              <w:topLinePunct w:val="0"/>
              <w:bidi w:val="0"/>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w:t>
            </w:r>
          </w:p>
        </w:tc>
      </w:tr>
      <w:tr w14:paraId="16ABB9A8">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4D283A5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5EB54E2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color w:val="auto"/>
                <w:kern w:val="0"/>
                <w:sz w:val="32"/>
                <w:szCs w:val="32"/>
                <w:highlight w:val="none"/>
              </w:rPr>
              <w:t>电参数： 电压、电流、功率</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334A8E86">
            <w:pPr>
              <w:pageBreakBefore w:val="0"/>
              <w:widowControl/>
              <w:kinsoku/>
              <w:wordWrap/>
              <w:overflowPunct/>
              <w:topLinePunct w:val="0"/>
              <w:bidi w:val="0"/>
              <w:spacing w:line="560" w:lineRule="exact"/>
              <w:ind w:firstLine="640" w:firstLineChars="200"/>
              <w:jc w:val="both"/>
              <w:textAlignment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7FAD3203">
            <w:pPr>
              <w:pageBreakBefore w:val="0"/>
              <w:widowControl/>
              <w:kinsoku/>
              <w:wordWrap/>
              <w:overflowPunct/>
              <w:topLinePunct w:val="0"/>
              <w:bidi w:val="0"/>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w:t>
            </w:r>
          </w:p>
        </w:tc>
      </w:tr>
      <w:tr w14:paraId="62D07665">
        <w:tblPrEx>
          <w:tblCellMar>
            <w:top w:w="0" w:type="dxa"/>
            <w:left w:w="0" w:type="dxa"/>
            <w:bottom w:w="0" w:type="dxa"/>
            <w:right w:w="0" w:type="dxa"/>
          </w:tblCellMar>
        </w:tblPrEx>
        <w:trPr>
          <w:trHeight w:val="49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0DC99FE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E63A55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rPr>
              <w:t>光度参数：整灯光效</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2D51329C">
            <w:pPr>
              <w:pageBreakBefore w:val="0"/>
              <w:widowControl/>
              <w:kinsoku/>
              <w:wordWrap/>
              <w:overflowPunct/>
              <w:topLinePunct w:val="0"/>
              <w:bidi w:val="0"/>
              <w:spacing w:line="560" w:lineRule="exact"/>
              <w:ind w:firstLine="640" w:firstLineChars="200"/>
              <w:jc w:val="both"/>
              <w:textAlignment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0979F725">
            <w:pPr>
              <w:pageBreakBefore w:val="0"/>
              <w:widowControl/>
              <w:kinsoku/>
              <w:wordWrap/>
              <w:overflowPunct/>
              <w:topLinePunct w:val="0"/>
              <w:bidi w:val="0"/>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w:t>
            </w:r>
          </w:p>
        </w:tc>
      </w:tr>
    </w:tbl>
    <w:p w14:paraId="31850E1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lang w:val="en-US" w:eastAsia="zh-CN"/>
        </w:rPr>
      </w:pPr>
    </w:p>
    <w:p w14:paraId="6F1EAA79">
      <w:pPr>
        <w:rPr>
          <w:rFonts w:hint="eastAsia" w:ascii="仿宋_GB2312" w:hAnsi="仿宋_GB2312" w:eastAsia="仿宋_GB2312" w:cs="仿宋_GB2312"/>
          <w:b/>
          <w:bCs/>
          <w:color w:val="auto"/>
          <w:sz w:val="32"/>
          <w:szCs w:val="32"/>
          <w:highlight w:val="none"/>
          <w:lang w:val="en-US" w:eastAsia="zh-CN"/>
        </w:rPr>
      </w:pPr>
      <w:bookmarkStart w:id="18" w:name="_Toc12436"/>
      <w:r>
        <w:rPr>
          <w:rFonts w:hint="eastAsia" w:ascii="仿宋_GB2312" w:hAnsi="仿宋_GB2312" w:eastAsia="仿宋_GB2312" w:cs="仿宋_GB2312"/>
          <w:b/>
          <w:bCs/>
          <w:color w:val="auto"/>
          <w:sz w:val="32"/>
          <w:szCs w:val="32"/>
          <w:highlight w:val="none"/>
          <w:lang w:val="en-US" w:eastAsia="zh-CN"/>
        </w:rPr>
        <w:br w:type="page"/>
      </w:r>
    </w:p>
    <w:p w14:paraId="6F7339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3.质保期期间灯具其他抽检项目</w:t>
      </w:r>
      <w:bookmarkEnd w:id="18"/>
    </w:p>
    <w:tbl>
      <w:tblPr>
        <w:tblStyle w:val="3"/>
        <w:tblW w:w="8298" w:type="dxa"/>
        <w:jc w:val="center"/>
        <w:tblLayout w:type="fixed"/>
        <w:tblCellMar>
          <w:top w:w="15" w:type="dxa"/>
          <w:left w:w="15" w:type="dxa"/>
          <w:bottom w:w="15" w:type="dxa"/>
          <w:right w:w="15" w:type="dxa"/>
        </w:tblCellMar>
      </w:tblPr>
      <w:tblGrid>
        <w:gridCol w:w="488"/>
        <w:gridCol w:w="1861"/>
        <w:gridCol w:w="5949"/>
      </w:tblGrid>
      <w:tr w14:paraId="4736D9EE">
        <w:tblPrEx>
          <w:tblCellMar>
            <w:top w:w="15" w:type="dxa"/>
            <w:left w:w="15" w:type="dxa"/>
            <w:bottom w:w="15" w:type="dxa"/>
            <w:right w:w="15" w:type="dxa"/>
          </w:tblCellMar>
        </w:tblPrEx>
        <w:trPr>
          <w:trHeight w:val="681"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9276">
            <w:pPr>
              <w:pageBreakBefore w:val="0"/>
              <w:kinsoku/>
              <w:wordWrap/>
              <w:overflowPunct/>
              <w:topLinePunct w:val="0"/>
              <w:bidi w:val="0"/>
              <w:spacing w:line="5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AB2C">
            <w:pPr>
              <w:pageBreakBefore w:val="0"/>
              <w:kinsoku/>
              <w:wordWrap/>
              <w:overflowPunct/>
              <w:topLinePunct w:val="0"/>
              <w:bidi w:val="0"/>
              <w:spacing w:line="5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检测对象</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DD21">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检测项目</w:t>
            </w:r>
          </w:p>
        </w:tc>
      </w:tr>
      <w:tr w14:paraId="26239440">
        <w:tblPrEx>
          <w:tblCellMar>
            <w:top w:w="15" w:type="dxa"/>
            <w:left w:w="15" w:type="dxa"/>
            <w:bottom w:w="15" w:type="dxa"/>
            <w:right w:w="15" w:type="dxa"/>
          </w:tblCellMar>
        </w:tblPrEx>
        <w:trPr>
          <w:trHeight w:val="539" w:hRule="atLeast"/>
          <w:jc w:val="center"/>
        </w:trPr>
        <w:tc>
          <w:tcPr>
            <w:tcW w:w="488" w:type="dxa"/>
            <w:tcBorders>
              <w:top w:val="single" w:color="000000" w:sz="4" w:space="0"/>
              <w:left w:val="single" w:color="000000" w:sz="4" w:space="0"/>
              <w:right w:val="single" w:color="000000" w:sz="4" w:space="0"/>
            </w:tcBorders>
            <w:shd w:val="clear" w:color="auto" w:fill="auto"/>
            <w:vAlign w:val="center"/>
          </w:tcPr>
          <w:p w14:paraId="060A3B6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p>
        </w:tc>
        <w:tc>
          <w:tcPr>
            <w:tcW w:w="1861" w:type="dxa"/>
            <w:tcBorders>
              <w:top w:val="single" w:color="000000" w:sz="4" w:space="0"/>
              <w:left w:val="single" w:color="000000" w:sz="4" w:space="0"/>
              <w:right w:val="single" w:color="000000" w:sz="4" w:space="0"/>
            </w:tcBorders>
            <w:shd w:val="clear" w:color="auto" w:fill="auto"/>
            <w:vAlign w:val="center"/>
          </w:tcPr>
          <w:p w14:paraId="1C12FF7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外壳、外露安装支架、螺丝螺帽等附件</w:t>
            </w: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4AC39">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必须采用高压铸铝合金、拉伸铝合金、以及304不锈钢等材质</w:t>
            </w:r>
            <w:r>
              <w:rPr>
                <w:rFonts w:hint="eastAsia" w:ascii="仿宋_GB2312" w:hAnsi="仿宋_GB2312" w:eastAsia="仿宋_GB2312" w:cs="仿宋_GB2312"/>
                <w:color w:val="auto"/>
                <w:kern w:val="0"/>
                <w:sz w:val="32"/>
                <w:szCs w:val="32"/>
                <w:highlight w:val="none"/>
                <w:lang w:eastAsia="zh-CN"/>
              </w:rPr>
              <w:t>。</w:t>
            </w:r>
          </w:p>
        </w:tc>
      </w:tr>
      <w:tr w14:paraId="5AB36C85">
        <w:tblPrEx>
          <w:tblCellMar>
            <w:top w:w="15" w:type="dxa"/>
            <w:left w:w="15" w:type="dxa"/>
            <w:bottom w:w="15" w:type="dxa"/>
            <w:right w:w="15" w:type="dxa"/>
          </w:tblCellMar>
        </w:tblPrEx>
        <w:trPr>
          <w:trHeight w:val="445" w:hRule="atLeast"/>
          <w:jc w:val="center"/>
        </w:trPr>
        <w:tc>
          <w:tcPr>
            <w:tcW w:w="488" w:type="dxa"/>
            <w:vMerge w:val="restart"/>
            <w:tcBorders>
              <w:top w:val="single" w:color="auto" w:sz="4" w:space="0"/>
              <w:left w:val="single" w:color="000000" w:sz="4" w:space="0"/>
              <w:right w:val="single" w:color="000000" w:sz="4" w:space="0"/>
            </w:tcBorders>
            <w:shd w:val="clear" w:color="auto" w:fill="auto"/>
            <w:vAlign w:val="center"/>
          </w:tcPr>
          <w:p w14:paraId="5655D0B2">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p>
        </w:tc>
        <w:tc>
          <w:tcPr>
            <w:tcW w:w="1861" w:type="dxa"/>
            <w:vMerge w:val="restart"/>
            <w:tcBorders>
              <w:top w:val="single" w:color="auto" w:sz="4" w:space="0"/>
              <w:left w:val="single" w:color="000000" w:sz="4" w:space="0"/>
              <w:right w:val="single" w:color="000000" w:sz="4" w:space="0"/>
            </w:tcBorders>
            <w:shd w:val="clear" w:color="auto" w:fill="auto"/>
            <w:vAlign w:val="center"/>
          </w:tcPr>
          <w:p w14:paraId="3D6495A2">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rPr>
              <w:t>电气安全</w:t>
            </w: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298B5EC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接地规定：220V的灯具需检测，24V</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安全电压灯具无需检测</w:t>
            </w:r>
            <w:r>
              <w:rPr>
                <w:rFonts w:hint="eastAsia" w:ascii="仿宋_GB2312" w:hAnsi="仿宋_GB2312" w:eastAsia="仿宋_GB2312" w:cs="仿宋_GB2312"/>
                <w:color w:val="auto"/>
                <w:kern w:val="0"/>
                <w:sz w:val="32"/>
                <w:szCs w:val="32"/>
                <w:highlight w:val="none"/>
                <w:lang w:eastAsia="zh-CN"/>
              </w:rPr>
              <w:t>。</w:t>
            </w:r>
          </w:p>
        </w:tc>
      </w:tr>
      <w:tr w14:paraId="1843244B">
        <w:tblPrEx>
          <w:tblCellMar>
            <w:top w:w="15" w:type="dxa"/>
            <w:left w:w="15" w:type="dxa"/>
            <w:bottom w:w="15" w:type="dxa"/>
            <w:right w:w="15" w:type="dxa"/>
          </w:tblCellMar>
        </w:tblPrEx>
        <w:trPr>
          <w:trHeight w:val="357"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71609C73">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73232103">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789F095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其他：防雷击、防静电能力、电磁干扰、灯具外壳温升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芯片引脚温升</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lang w:eastAsia="zh-CN"/>
              </w:rPr>
              <w:t>。</w:t>
            </w:r>
          </w:p>
        </w:tc>
      </w:tr>
      <w:tr w14:paraId="2FE713B9">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9903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02610DC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灯具寿命及光衰</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6A83">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颗粒寿命</w:t>
            </w:r>
            <w:r>
              <w:rPr>
                <w:rFonts w:hint="eastAsia" w:ascii="宋体" w:hAnsi="宋体" w:eastAsia="宋体" w:cs="宋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5万小时</w:t>
            </w:r>
            <w:r>
              <w:rPr>
                <w:rFonts w:hint="eastAsia" w:ascii="仿宋_GB2312" w:hAnsi="仿宋_GB2312" w:eastAsia="仿宋_GB2312" w:cs="仿宋_GB2312"/>
                <w:color w:val="auto"/>
                <w:kern w:val="0"/>
                <w:sz w:val="32"/>
                <w:szCs w:val="32"/>
                <w:highlight w:val="none"/>
                <w:lang w:eastAsia="zh-CN"/>
              </w:rPr>
              <w:t>。</w:t>
            </w:r>
          </w:p>
        </w:tc>
      </w:tr>
      <w:tr w14:paraId="2432C557">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B867">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3E3B9EE5">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0EB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灯具光衰符合国标要求</w:t>
            </w:r>
            <w:r>
              <w:rPr>
                <w:rFonts w:hint="eastAsia" w:ascii="仿宋_GB2312" w:hAnsi="仿宋_GB2312" w:eastAsia="仿宋_GB2312" w:cs="仿宋_GB2312"/>
                <w:color w:val="auto"/>
                <w:kern w:val="0"/>
                <w:sz w:val="32"/>
                <w:szCs w:val="32"/>
                <w:highlight w:val="none"/>
                <w:lang w:eastAsia="zh-CN"/>
              </w:rPr>
              <w:t>。</w:t>
            </w:r>
          </w:p>
        </w:tc>
      </w:tr>
      <w:tr w14:paraId="23ACEB24">
        <w:tblPrEx>
          <w:tblCellMar>
            <w:top w:w="15" w:type="dxa"/>
            <w:left w:w="15" w:type="dxa"/>
            <w:bottom w:w="15" w:type="dxa"/>
            <w:right w:w="15" w:type="dxa"/>
          </w:tblCellMar>
        </w:tblPrEx>
        <w:trPr>
          <w:trHeight w:val="312"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6BE5">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E3BF">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33AAD57">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color w:val="auto"/>
                <w:sz w:val="32"/>
                <w:szCs w:val="32"/>
                <w:highlight w:val="none"/>
              </w:rPr>
            </w:pPr>
          </w:p>
        </w:tc>
      </w:tr>
    </w:tbl>
    <w:p w14:paraId="112A0534">
      <w:pPr>
        <w:pStyle w:val="5"/>
        <w:rPr>
          <w:rFonts w:hint="eastAsia"/>
          <w:color w:val="auto"/>
          <w:highlight w:val="none"/>
          <w:lang w:val="en-US" w:eastAsia="zh-CN"/>
        </w:rPr>
      </w:pPr>
      <w:bookmarkStart w:id="19" w:name="_Toc23670"/>
    </w:p>
    <w:bookmarkEnd w:id="19"/>
    <w:p w14:paraId="3FF44DA9">
      <w:pPr>
        <w:numPr>
          <w:ilvl w:val="0"/>
          <w:numId w:val="4"/>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bookmarkStart w:id="20" w:name="_Toc694"/>
      <w:r>
        <w:rPr>
          <w:rFonts w:hint="eastAsia" w:ascii="楷体_GB2312" w:hAnsi="楷体_GB2312" w:eastAsia="楷体_GB2312" w:cs="楷体_GB2312"/>
          <w:b/>
          <w:bCs/>
          <w:color w:val="auto"/>
          <w:sz w:val="32"/>
          <w:szCs w:val="32"/>
          <w:highlight w:val="none"/>
          <w:lang w:val="en-US" w:eastAsia="zh-CN"/>
        </w:rPr>
        <w:t>所有设施运输要求</w:t>
      </w:r>
      <w:bookmarkEnd w:id="20"/>
    </w:p>
    <w:p w14:paraId="0137F9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1" w:name="_Toc28100"/>
      <w:r>
        <w:rPr>
          <w:rFonts w:hint="eastAsia" w:ascii="仿宋_GB2312" w:hAnsi="仿宋_GB2312" w:eastAsia="仿宋_GB2312" w:cs="仿宋_GB2312"/>
          <w:b/>
          <w:bCs/>
          <w:color w:val="auto"/>
          <w:sz w:val="32"/>
          <w:szCs w:val="32"/>
          <w:highlight w:val="none"/>
          <w:lang w:val="en-US" w:eastAsia="zh-CN"/>
        </w:rPr>
        <w:t>1.说明</w:t>
      </w:r>
      <w:bookmarkEnd w:id="21"/>
    </w:p>
    <w:p w14:paraId="7CD0B2BC">
      <w:pPr>
        <w:pStyle w:val="7"/>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技术文件详参有规定的，按详参规定执行，没有详参规定的，按照本通则执行。</w:t>
      </w:r>
    </w:p>
    <w:p w14:paraId="6C5CEBF6">
      <w:pPr>
        <w:pStyle w:val="7"/>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780F71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2" w:name="_Toc5657"/>
      <w:r>
        <w:rPr>
          <w:rFonts w:hint="eastAsia" w:ascii="仿宋_GB2312" w:hAnsi="仿宋_GB2312" w:eastAsia="仿宋_GB2312" w:cs="仿宋_GB2312"/>
          <w:b/>
          <w:bCs/>
          <w:color w:val="auto"/>
          <w:sz w:val="32"/>
          <w:szCs w:val="32"/>
          <w:highlight w:val="none"/>
          <w:lang w:val="en-US" w:eastAsia="zh-CN"/>
        </w:rPr>
        <w:t>2.运输用基本设备及常用材料</w:t>
      </w:r>
      <w:bookmarkEnd w:id="22"/>
    </w:p>
    <w:p w14:paraId="2CDC4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行车；(2)叉车；(3)各种规格的胶合板垫木；(4)带塑料保护套的钢丝绳、紧固拉钩套件、花兰螺丝、捆绑器、钢钉；(5)晴纶卷、橡胶板、稻草绳；(6)钢制打包带；(7)发泡塑料（喷塑杆专用）；(8)尼龙绳（用于替代目前喷塑杆包装中使用的草绳）；(9)胶合板配件箱；(10)木料切割机；(11)镀锌螺丝及螺母（用于小部件固定）。</w:t>
      </w:r>
    </w:p>
    <w:p w14:paraId="7CBA7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在运输、装卸等环节，必须做好成品保护，确保货物完好无损。所有措施费用含在投标报价中。</w:t>
      </w:r>
    </w:p>
    <w:p w14:paraId="4BE41133">
      <w:pPr>
        <w:pStyle w:val="2"/>
        <w:keepNext/>
        <w:keepLines/>
        <w:pageBreakBefore w:val="0"/>
        <w:widowControl w:val="0"/>
        <w:numPr>
          <w:ilvl w:val="0"/>
          <w:numId w:val="0"/>
        </w:numPr>
        <w:kinsoku/>
        <w:wordWrap/>
        <w:overflowPunct/>
        <w:topLinePunct w:val="0"/>
        <w:autoSpaceDE/>
        <w:autoSpaceDN/>
        <w:bidi w:val="0"/>
        <w:adjustRightInd/>
        <w:snapToGrid/>
        <w:spacing w:before="156" w:after="468" w:line="560" w:lineRule="exact"/>
        <w:ind w:leftChars="200"/>
        <w:jc w:val="left"/>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br w:type="page"/>
      </w:r>
      <w:r>
        <w:rPr>
          <w:rFonts w:hint="eastAsia" w:ascii="仿宋_GB2312" w:hAnsi="仿宋_GB2312" w:eastAsia="仿宋_GB2312" w:cs="仿宋_GB2312"/>
          <w:color w:val="auto"/>
          <w:sz w:val="32"/>
          <w:szCs w:val="32"/>
          <w:highlight w:val="none"/>
          <w:lang w:val="en-US" w:eastAsia="zh-CN"/>
        </w:rPr>
        <w:t>四、</w:t>
      </w:r>
      <w:r>
        <w:rPr>
          <w:rFonts w:hint="eastAsia" w:ascii="黑体" w:hAnsi="黑体" w:eastAsia="黑体" w:cs="黑体"/>
          <w:b w:val="0"/>
          <w:color w:val="auto"/>
          <w:kern w:val="2"/>
          <w:sz w:val="32"/>
          <w:szCs w:val="32"/>
          <w:highlight w:val="none"/>
          <w:lang w:val="en-US" w:eastAsia="zh-CN" w:bidi="ar-SA"/>
        </w:rPr>
        <w:t>灯具详细参数</w:t>
      </w:r>
    </w:p>
    <w:p w14:paraId="208C3AA5">
      <w:pPr>
        <w:pStyle w:val="2"/>
        <w:keepNext/>
        <w:keepLines/>
        <w:pageBreakBefore w:val="0"/>
        <w:widowControl w:val="0"/>
        <w:numPr>
          <w:ilvl w:val="0"/>
          <w:numId w:val="0"/>
        </w:numPr>
        <w:kinsoku/>
        <w:wordWrap/>
        <w:overflowPunct/>
        <w:topLinePunct w:val="0"/>
        <w:autoSpaceDE/>
        <w:autoSpaceDN/>
        <w:bidi w:val="0"/>
        <w:adjustRightInd/>
        <w:snapToGrid/>
        <w:spacing w:before="156" w:after="468" w:line="560" w:lineRule="exact"/>
        <w:ind w:leftChars="200"/>
        <w:jc w:val="left"/>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w:t>
      </w:r>
      <w:r>
        <w:rPr>
          <w:sz w:val="24"/>
        </w:rPr>
        <w:t xml:space="preserve"> </w:t>
      </w:r>
      <w:r>
        <w:rPr>
          <w:rFonts w:hint="eastAsia" w:ascii="楷体_GB2312" w:hAnsi="楷体_GB2312" w:eastAsia="楷体_GB2312" w:cs="楷体_GB2312"/>
          <w:b w:val="0"/>
          <w:bCs w:val="0"/>
          <w:color w:val="auto"/>
          <w:kern w:val="2"/>
          <w:sz w:val="32"/>
          <w:szCs w:val="32"/>
          <w:highlight w:val="none"/>
          <w:lang w:val="en-US" w:eastAsia="zh-CN" w:bidi="ar-SA"/>
        </w:rPr>
        <w:t xml:space="preserve"> 10W立方体LED草坪灯（青果巷灯型、3000K）</w:t>
      </w:r>
    </w:p>
    <w:tbl>
      <w:tblPr>
        <w:tblStyle w:val="3"/>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0"/>
        <w:gridCol w:w="828"/>
        <w:gridCol w:w="1210"/>
        <w:gridCol w:w="1968"/>
        <w:gridCol w:w="1976"/>
        <w:gridCol w:w="1324"/>
      </w:tblGrid>
      <w:tr w14:paraId="7EE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83" w:hRule="atLeast"/>
        </w:trPr>
        <w:tc>
          <w:tcPr>
            <w:tcW w:w="1030" w:type="dxa"/>
            <w:vMerge w:val="restart"/>
            <w:shd w:val="clear" w:color="auto" w:fill="auto"/>
            <w:vAlign w:val="center"/>
          </w:tcPr>
          <w:p w14:paraId="3F8F55B9">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bidi="ar"/>
              </w:rPr>
              <w:t>灯具</w:t>
            </w:r>
          </w:p>
        </w:tc>
        <w:tc>
          <w:tcPr>
            <w:tcW w:w="828" w:type="dxa"/>
            <w:shd w:val="clear" w:color="auto" w:fill="auto"/>
            <w:vAlign w:val="center"/>
          </w:tcPr>
          <w:p w14:paraId="6DE2E0BA">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bidi="ar"/>
              </w:rPr>
              <w:t>外形</w:t>
            </w:r>
          </w:p>
          <w:p w14:paraId="11303B40">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bidi="ar"/>
              </w:rPr>
              <w:t>尺寸</w:t>
            </w:r>
          </w:p>
          <w:p w14:paraId="0FFE4669">
            <w:pPr>
              <w:widowControl/>
              <w:jc w:val="center"/>
              <w:textAlignment w:val="center"/>
              <w:rPr>
                <w:rFonts w:hint="eastAsia"/>
                <w:sz w:val="24"/>
              </w:rPr>
            </w:pPr>
            <w:r>
              <w:rPr>
                <w:rFonts w:hint="eastAsia" w:ascii="仿宋_GB2312" w:hAnsi="仿宋_GB2312" w:eastAsia="仿宋_GB2312" w:cs="仿宋_GB2312"/>
                <w:b/>
                <w:kern w:val="0"/>
                <w:sz w:val="24"/>
                <w:szCs w:val="24"/>
                <w:lang w:eastAsia="zh-CN" w:bidi="ar"/>
              </w:rPr>
              <w:t>（</w:t>
            </w:r>
            <w:r>
              <w:rPr>
                <w:rFonts w:hint="eastAsia" w:ascii="仿宋_GB2312" w:hAnsi="仿宋_GB2312" w:eastAsia="仿宋_GB2312" w:cs="仿宋_GB2312"/>
                <w:b/>
                <w:kern w:val="0"/>
                <w:sz w:val="24"/>
                <w:szCs w:val="24"/>
                <w:lang w:val="en-US" w:eastAsia="zh-CN" w:bidi="ar"/>
              </w:rPr>
              <w:t>仅供参考</w:t>
            </w:r>
            <w:r>
              <w:rPr>
                <w:rFonts w:hint="eastAsia" w:ascii="仿宋_GB2312" w:hAnsi="仿宋_GB2312" w:eastAsia="仿宋_GB2312" w:cs="仿宋_GB2312"/>
                <w:b/>
                <w:kern w:val="0"/>
                <w:sz w:val="24"/>
                <w:szCs w:val="24"/>
                <w:lang w:bidi="ar"/>
              </w:rPr>
              <w:t>误差不超过2%）</w:t>
            </w:r>
          </w:p>
          <w:p w14:paraId="5053571E">
            <w:pPr>
              <w:widowControl/>
              <w:jc w:val="center"/>
              <w:textAlignment w:val="center"/>
              <w:rPr>
                <w:rFonts w:hint="eastAsia" w:ascii="仿宋_GB2312" w:hAnsi="仿宋_GB2312" w:eastAsia="仿宋_GB2312" w:cs="仿宋_GB2312"/>
                <w:b/>
                <w:kern w:val="0"/>
                <w:sz w:val="24"/>
                <w:szCs w:val="24"/>
                <w:lang w:eastAsia="zh-CN" w:bidi="ar"/>
              </w:rPr>
            </w:pPr>
          </w:p>
        </w:tc>
        <w:tc>
          <w:tcPr>
            <w:tcW w:w="6478" w:type="dxa"/>
            <w:gridSpan w:val="4"/>
            <w:shd w:val="clear" w:color="auto" w:fill="auto"/>
            <w:vAlign w:val="center"/>
          </w:tcPr>
          <w:p w14:paraId="4170E2AF">
            <w:pPr>
              <w:widowControl/>
              <w:jc w:val="both"/>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anchor distT="0" distB="0" distL="114300" distR="114300" simplePos="0" relativeHeight="251659264" behindDoc="0" locked="0" layoutInCell="1" allowOverlap="1">
                  <wp:simplePos x="0" y="0"/>
                  <wp:positionH relativeFrom="column">
                    <wp:posOffset>90170</wp:posOffset>
                  </wp:positionH>
                  <wp:positionV relativeFrom="paragraph">
                    <wp:posOffset>231775</wp:posOffset>
                  </wp:positionV>
                  <wp:extent cx="482600" cy="1543050"/>
                  <wp:effectExtent l="0" t="0" r="0" b="6350"/>
                  <wp:wrapSquare wrapText="bothSides"/>
                  <wp:docPr id="1" name="图片 1" descr="bca416adfe397c3656518ce615b5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a416adfe397c3656518ce615b5f3d"/>
                          <pic:cNvPicPr>
                            <a:picLocks noChangeAspect="1"/>
                          </pic:cNvPicPr>
                        </pic:nvPicPr>
                        <pic:blipFill>
                          <a:blip r:embed="rId4"/>
                          <a:srcRect l="42034" t="25007" r="48494" b="21932"/>
                          <a:stretch>
                            <a:fillRect/>
                          </a:stretch>
                        </pic:blipFill>
                        <pic:spPr>
                          <a:xfrm>
                            <a:off x="0" y="0"/>
                            <a:ext cx="482600" cy="1543050"/>
                          </a:xfrm>
                          <a:prstGeom prst="rect">
                            <a:avLst/>
                          </a:prstGeom>
                        </pic:spPr>
                      </pic:pic>
                    </a:graphicData>
                  </a:graphic>
                </wp:anchor>
              </w:drawing>
            </w:r>
            <w:r>
              <w:rPr>
                <w:rFonts w:hint="eastAsia" w:ascii="仿宋_GB2312" w:hAnsi="仿宋_GB2312" w:eastAsia="仿宋_GB2312" w:cs="仿宋_GB2312"/>
                <w:sz w:val="24"/>
                <w:szCs w:val="24"/>
                <w:lang w:eastAsia="zh-CN"/>
              </w:rPr>
              <w:drawing>
                <wp:inline distT="0" distB="0" distL="114300" distR="114300">
                  <wp:extent cx="3388360" cy="3063240"/>
                  <wp:effectExtent l="0" t="0" r="2540" b="1016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3388360" cy="3063240"/>
                          </a:xfrm>
                          <a:prstGeom prst="rect">
                            <a:avLst/>
                          </a:prstGeom>
                        </pic:spPr>
                      </pic:pic>
                    </a:graphicData>
                  </a:graphic>
                </wp:inline>
              </w:drawing>
            </w:r>
          </w:p>
        </w:tc>
      </w:tr>
      <w:tr w14:paraId="5393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5" w:hRule="atLeast"/>
        </w:trPr>
        <w:tc>
          <w:tcPr>
            <w:tcW w:w="1030" w:type="dxa"/>
            <w:vMerge w:val="continue"/>
            <w:shd w:val="clear" w:color="auto" w:fill="auto"/>
            <w:vAlign w:val="center"/>
          </w:tcPr>
          <w:p w14:paraId="5CF25C34">
            <w:pPr>
              <w:jc w:val="center"/>
              <w:rPr>
                <w:rFonts w:hint="eastAsia" w:ascii="仿宋_GB2312" w:hAnsi="仿宋_GB2312" w:eastAsia="仿宋_GB2312" w:cs="仿宋_GB2312"/>
                <w:b/>
                <w:sz w:val="24"/>
                <w:szCs w:val="24"/>
              </w:rPr>
            </w:pPr>
          </w:p>
        </w:tc>
        <w:tc>
          <w:tcPr>
            <w:tcW w:w="828" w:type="dxa"/>
            <w:vMerge w:val="restart"/>
            <w:shd w:val="clear" w:color="auto" w:fill="auto"/>
            <w:vAlign w:val="center"/>
          </w:tcPr>
          <w:p w14:paraId="248F7A83">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bidi="ar"/>
              </w:rPr>
              <w:t>材质</w:t>
            </w:r>
          </w:p>
        </w:tc>
        <w:tc>
          <w:tcPr>
            <w:tcW w:w="1210" w:type="dxa"/>
            <w:shd w:val="clear" w:color="auto" w:fill="auto"/>
            <w:vAlign w:val="center"/>
          </w:tcPr>
          <w:p w14:paraId="1C38CB2B">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bidi="ar"/>
              </w:rPr>
              <w:t>灯具外壳</w:t>
            </w:r>
          </w:p>
        </w:tc>
        <w:tc>
          <w:tcPr>
            <w:tcW w:w="5268" w:type="dxa"/>
            <w:gridSpan w:val="3"/>
            <w:shd w:val="clear" w:color="auto" w:fill="auto"/>
            <w:vAlign w:val="center"/>
          </w:tcPr>
          <w:p w14:paraId="1E81645E">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灯体采用2mm厚304不锈钢板折边焊接成型，外表喷漆处理，壁厚误差不大于3%。灯具内部框架也采用304不锈钢制作。</w:t>
            </w:r>
          </w:p>
        </w:tc>
      </w:tr>
      <w:tr w14:paraId="530D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rPr>
        <w:tc>
          <w:tcPr>
            <w:tcW w:w="1030" w:type="dxa"/>
            <w:vMerge w:val="continue"/>
            <w:shd w:val="clear" w:color="auto" w:fill="auto"/>
            <w:vAlign w:val="center"/>
          </w:tcPr>
          <w:p w14:paraId="32A06150">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33EF9AEA">
            <w:pPr>
              <w:jc w:val="center"/>
              <w:rPr>
                <w:rFonts w:hint="eastAsia" w:ascii="仿宋_GB2312" w:hAnsi="仿宋_GB2312" w:eastAsia="仿宋_GB2312" w:cs="仿宋_GB2312"/>
                <w:b/>
                <w:sz w:val="24"/>
                <w:szCs w:val="24"/>
              </w:rPr>
            </w:pPr>
          </w:p>
        </w:tc>
        <w:tc>
          <w:tcPr>
            <w:tcW w:w="1210" w:type="dxa"/>
            <w:shd w:val="clear" w:color="auto" w:fill="auto"/>
            <w:vAlign w:val="center"/>
          </w:tcPr>
          <w:p w14:paraId="5604E12C">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透光灯罩</w:t>
            </w:r>
          </w:p>
        </w:tc>
        <w:tc>
          <w:tcPr>
            <w:tcW w:w="5268" w:type="dxa"/>
            <w:gridSpan w:val="3"/>
            <w:shd w:val="clear" w:color="auto" w:fill="auto"/>
            <w:vAlign w:val="center"/>
          </w:tcPr>
          <w:p w14:paraId="5A66DA5B">
            <w:pPr>
              <w:widowControl/>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透光灯罩为4mm优质亚克力板，颜色为乳白色，抗击打性强，耐老化，不变色。</w:t>
            </w:r>
          </w:p>
        </w:tc>
      </w:tr>
      <w:tr w14:paraId="625C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7ABA2293">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1BB53B83">
            <w:pPr>
              <w:jc w:val="center"/>
              <w:rPr>
                <w:rFonts w:hint="eastAsia" w:ascii="仿宋_GB2312" w:hAnsi="仿宋_GB2312" w:eastAsia="仿宋_GB2312" w:cs="仿宋_GB2312"/>
                <w:b/>
                <w:sz w:val="24"/>
                <w:szCs w:val="24"/>
              </w:rPr>
            </w:pPr>
          </w:p>
        </w:tc>
        <w:tc>
          <w:tcPr>
            <w:tcW w:w="1210" w:type="dxa"/>
            <w:shd w:val="clear" w:color="auto" w:fill="auto"/>
            <w:vAlign w:val="center"/>
          </w:tcPr>
          <w:p w14:paraId="7A3B6967">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灯罩支架</w:t>
            </w:r>
          </w:p>
        </w:tc>
        <w:tc>
          <w:tcPr>
            <w:tcW w:w="5268" w:type="dxa"/>
            <w:gridSpan w:val="3"/>
            <w:shd w:val="clear" w:color="auto" w:fill="auto"/>
            <w:vAlign w:val="center"/>
          </w:tcPr>
          <w:p w14:paraId="7484247D">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装配铝合金</w:t>
            </w:r>
          </w:p>
        </w:tc>
      </w:tr>
      <w:tr w14:paraId="7660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10BFD15A">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67C60685">
            <w:pPr>
              <w:jc w:val="center"/>
              <w:rPr>
                <w:rFonts w:hint="eastAsia" w:ascii="仿宋_GB2312" w:hAnsi="仿宋_GB2312" w:eastAsia="仿宋_GB2312" w:cs="仿宋_GB2312"/>
                <w:b/>
                <w:sz w:val="24"/>
                <w:szCs w:val="24"/>
              </w:rPr>
            </w:pPr>
          </w:p>
        </w:tc>
        <w:tc>
          <w:tcPr>
            <w:tcW w:w="1210" w:type="dxa"/>
            <w:shd w:val="clear" w:color="auto" w:fill="auto"/>
            <w:vAlign w:val="center"/>
          </w:tcPr>
          <w:p w14:paraId="49CB815F">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密封圈</w:t>
            </w:r>
          </w:p>
        </w:tc>
        <w:tc>
          <w:tcPr>
            <w:tcW w:w="5268" w:type="dxa"/>
            <w:gridSpan w:val="3"/>
            <w:shd w:val="clear" w:color="auto" w:fill="auto"/>
            <w:vAlign w:val="center"/>
          </w:tcPr>
          <w:p w14:paraId="585988BA">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采用高品质耐高温硅橡胶密封圈</w:t>
            </w:r>
          </w:p>
        </w:tc>
      </w:tr>
      <w:tr w14:paraId="27FA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1120850D">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03FDB984">
            <w:pPr>
              <w:jc w:val="center"/>
              <w:rPr>
                <w:rFonts w:hint="eastAsia" w:ascii="仿宋_GB2312" w:hAnsi="仿宋_GB2312" w:eastAsia="仿宋_GB2312" w:cs="仿宋_GB2312"/>
                <w:b/>
                <w:sz w:val="24"/>
                <w:szCs w:val="24"/>
              </w:rPr>
            </w:pPr>
          </w:p>
        </w:tc>
        <w:tc>
          <w:tcPr>
            <w:tcW w:w="1210" w:type="dxa"/>
            <w:shd w:val="clear" w:color="auto" w:fill="auto"/>
            <w:vAlign w:val="center"/>
          </w:tcPr>
          <w:p w14:paraId="50A2EF75">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表面处理</w:t>
            </w:r>
          </w:p>
        </w:tc>
        <w:tc>
          <w:tcPr>
            <w:tcW w:w="5268" w:type="dxa"/>
            <w:gridSpan w:val="3"/>
            <w:shd w:val="clear" w:color="auto" w:fill="auto"/>
            <w:vAlign w:val="center"/>
          </w:tcPr>
          <w:p w14:paraId="63F516E1">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机械性及化学性防腐处理，抗紫外线聚酯粉。</w:t>
            </w:r>
          </w:p>
        </w:tc>
      </w:tr>
      <w:tr w14:paraId="4980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2CB0725A">
            <w:pPr>
              <w:jc w:val="center"/>
              <w:rPr>
                <w:rFonts w:hint="eastAsia" w:ascii="仿宋_GB2312" w:hAnsi="仿宋_GB2312" w:eastAsia="仿宋_GB2312" w:cs="仿宋_GB2312"/>
                <w:b/>
                <w:sz w:val="24"/>
                <w:szCs w:val="24"/>
              </w:rPr>
            </w:pPr>
          </w:p>
        </w:tc>
        <w:tc>
          <w:tcPr>
            <w:tcW w:w="2038" w:type="dxa"/>
            <w:gridSpan w:val="2"/>
            <w:shd w:val="clear" w:color="auto" w:fill="auto"/>
            <w:vAlign w:val="center"/>
          </w:tcPr>
          <w:p w14:paraId="397DDDE9">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bidi="ar"/>
              </w:rPr>
              <w:t>外壳颜色</w:t>
            </w:r>
          </w:p>
        </w:tc>
        <w:tc>
          <w:tcPr>
            <w:tcW w:w="5268" w:type="dxa"/>
            <w:gridSpan w:val="3"/>
            <w:shd w:val="clear" w:color="auto" w:fill="auto"/>
            <w:vAlign w:val="center"/>
          </w:tcPr>
          <w:p w14:paraId="580EB17A">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val="0"/>
                <w:bCs/>
                <w:color w:val="auto"/>
                <w:kern w:val="0"/>
                <w:sz w:val="24"/>
                <w:szCs w:val="24"/>
                <w:lang w:val="en-US" w:eastAsia="zh-CN"/>
              </w:rPr>
              <w:t>与安装位置的周边环境颜色一致。</w:t>
            </w:r>
          </w:p>
        </w:tc>
      </w:tr>
      <w:tr w14:paraId="5A49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0AA77B1B">
            <w:pPr>
              <w:jc w:val="center"/>
              <w:rPr>
                <w:rFonts w:hint="eastAsia" w:ascii="仿宋_GB2312" w:hAnsi="仿宋_GB2312" w:eastAsia="仿宋_GB2312" w:cs="仿宋_GB2312"/>
                <w:b/>
                <w:sz w:val="24"/>
                <w:szCs w:val="24"/>
              </w:rPr>
            </w:pPr>
          </w:p>
        </w:tc>
        <w:tc>
          <w:tcPr>
            <w:tcW w:w="828" w:type="dxa"/>
            <w:vMerge w:val="restart"/>
            <w:shd w:val="clear" w:color="auto" w:fill="auto"/>
            <w:vAlign w:val="center"/>
          </w:tcPr>
          <w:p w14:paraId="3D533116">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bidi="ar"/>
              </w:rPr>
              <w:t>光源</w:t>
            </w:r>
          </w:p>
        </w:tc>
        <w:tc>
          <w:tcPr>
            <w:tcW w:w="1210" w:type="dxa"/>
            <w:shd w:val="clear" w:color="auto" w:fill="auto"/>
            <w:vAlign w:val="center"/>
          </w:tcPr>
          <w:p w14:paraId="1879A466">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000000"/>
                <w:kern w:val="0"/>
                <w:sz w:val="24"/>
                <w:szCs w:val="24"/>
                <w:lang w:bidi="ar"/>
              </w:rPr>
              <w:t>颗粒功率</w:t>
            </w:r>
          </w:p>
        </w:tc>
        <w:tc>
          <w:tcPr>
            <w:tcW w:w="5268" w:type="dxa"/>
            <w:gridSpan w:val="3"/>
            <w:shd w:val="clear" w:color="auto" w:fill="auto"/>
            <w:vAlign w:val="center"/>
          </w:tcPr>
          <w:p w14:paraId="0AB5713A">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整灯功率10w</w:t>
            </w:r>
          </w:p>
        </w:tc>
      </w:tr>
      <w:tr w14:paraId="3F7B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619B6046">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5B7C1FAF">
            <w:pPr>
              <w:jc w:val="center"/>
              <w:rPr>
                <w:rFonts w:hint="eastAsia" w:ascii="仿宋_GB2312" w:hAnsi="仿宋_GB2312" w:eastAsia="仿宋_GB2312" w:cs="仿宋_GB2312"/>
                <w:b/>
                <w:sz w:val="24"/>
                <w:szCs w:val="24"/>
              </w:rPr>
            </w:pPr>
          </w:p>
        </w:tc>
        <w:tc>
          <w:tcPr>
            <w:tcW w:w="1210" w:type="dxa"/>
            <w:shd w:val="clear" w:color="auto" w:fill="auto"/>
            <w:vAlign w:val="center"/>
          </w:tcPr>
          <w:p w14:paraId="4C9AF230">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000000"/>
                <w:kern w:val="0"/>
                <w:sz w:val="24"/>
                <w:szCs w:val="24"/>
                <w:lang w:bidi="ar"/>
              </w:rPr>
              <w:t>输入电压</w:t>
            </w:r>
          </w:p>
        </w:tc>
        <w:tc>
          <w:tcPr>
            <w:tcW w:w="5268" w:type="dxa"/>
            <w:gridSpan w:val="3"/>
            <w:shd w:val="clear" w:color="auto" w:fill="auto"/>
            <w:vAlign w:val="center"/>
          </w:tcPr>
          <w:p w14:paraId="675B4DC9">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AC220V</w:t>
            </w:r>
          </w:p>
        </w:tc>
      </w:tr>
      <w:tr w14:paraId="137C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4E7B18B5">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1D670883">
            <w:pPr>
              <w:jc w:val="center"/>
              <w:rPr>
                <w:rFonts w:hint="eastAsia" w:ascii="仿宋_GB2312" w:hAnsi="仿宋_GB2312" w:eastAsia="仿宋_GB2312" w:cs="仿宋_GB2312"/>
                <w:b/>
                <w:sz w:val="24"/>
                <w:szCs w:val="24"/>
              </w:rPr>
            </w:pPr>
          </w:p>
        </w:tc>
        <w:tc>
          <w:tcPr>
            <w:tcW w:w="1210" w:type="dxa"/>
            <w:shd w:val="clear" w:color="auto" w:fill="auto"/>
            <w:vAlign w:val="center"/>
          </w:tcPr>
          <w:p w14:paraId="6CFCC814">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color w:val="000000"/>
                <w:kern w:val="0"/>
                <w:sz w:val="24"/>
                <w:szCs w:val="24"/>
                <w:lang w:bidi="ar"/>
              </w:rPr>
              <w:t>相关色温</w:t>
            </w:r>
          </w:p>
        </w:tc>
        <w:tc>
          <w:tcPr>
            <w:tcW w:w="5268" w:type="dxa"/>
            <w:gridSpan w:val="3"/>
            <w:shd w:val="clear" w:color="auto" w:fill="auto"/>
            <w:vAlign w:val="center"/>
          </w:tcPr>
          <w:p w14:paraId="47334B35">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3000K</w:t>
            </w:r>
          </w:p>
        </w:tc>
      </w:tr>
      <w:tr w14:paraId="345F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560A824E">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6FC33ACC">
            <w:pPr>
              <w:jc w:val="center"/>
              <w:rPr>
                <w:rFonts w:hint="eastAsia" w:ascii="仿宋_GB2312" w:hAnsi="仿宋_GB2312" w:eastAsia="仿宋_GB2312" w:cs="仿宋_GB2312"/>
                <w:b/>
                <w:sz w:val="24"/>
                <w:szCs w:val="24"/>
              </w:rPr>
            </w:pPr>
          </w:p>
        </w:tc>
        <w:tc>
          <w:tcPr>
            <w:tcW w:w="1210" w:type="dxa"/>
            <w:shd w:val="clear" w:color="auto" w:fill="auto"/>
            <w:vAlign w:val="center"/>
          </w:tcPr>
          <w:p w14:paraId="588E8CD5">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color w:val="000000"/>
                <w:sz w:val="24"/>
                <w:szCs w:val="24"/>
              </w:rPr>
              <w:t>显色指数</w:t>
            </w:r>
          </w:p>
        </w:tc>
        <w:tc>
          <w:tcPr>
            <w:tcW w:w="5268" w:type="dxa"/>
            <w:gridSpan w:val="3"/>
            <w:shd w:val="clear" w:color="auto" w:fill="auto"/>
            <w:vAlign w:val="center"/>
          </w:tcPr>
          <w:p w14:paraId="73C4BD42">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显色指数</w:t>
            </w:r>
            <w:r>
              <w:rPr>
                <w:rFonts w:hint="eastAsia" w:ascii="仿宋_GB2312" w:hAnsi="仿宋_GB2312" w:eastAsia="仿宋_GB2312" w:cs="仿宋_GB2312"/>
                <w:color w:val="000000"/>
                <w:kern w:val="0"/>
                <w:sz w:val="24"/>
                <w:szCs w:val="24"/>
                <w:lang w:bidi="ar"/>
              </w:rPr>
              <w:t>≥70</w:t>
            </w:r>
          </w:p>
        </w:tc>
      </w:tr>
      <w:tr w14:paraId="1D16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030" w:type="dxa"/>
            <w:vMerge w:val="continue"/>
            <w:shd w:val="clear" w:color="auto" w:fill="auto"/>
            <w:vAlign w:val="center"/>
          </w:tcPr>
          <w:p w14:paraId="59A7EB4E">
            <w:pPr>
              <w:jc w:val="center"/>
              <w:rPr>
                <w:rFonts w:hint="eastAsia" w:ascii="仿宋_GB2312" w:hAnsi="仿宋_GB2312" w:eastAsia="仿宋_GB2312" w:cs="仿宋_GB2312"/>
                <w:b/>
                <w:sz w:val="24"/>
                <w:szCs w:val="24"/>
              </w:rPr>
            </w:pPr>
          </w:p>
        </w:tc>
        <w:tc>
          <w:tcPr>
            <w:tcW w:w="828" w:type="dxa"/>
            <w:vMerge w:val="continue"/>
            <w:shd w:val="clear" w:color="auto" w:fill="auto"/>
            <w:vAlign w:val="center"/>
          </w:tcPr>
          <w:p w14:paraId="7FD2C2BE">
            <w:pPr>
              <w:jc w:val="center"/>
              <w:rPr>
                <w:rFonts w:hint="eastAsia" w:ascii="仿宋_GB2312" w:hAnsi="仿宋_GB2312" w:eastAsia="仿宋_GB2312" w:cs="仿宋_GB2312"/>
                <w:b/>
                <w:sz w:val="24"/>
                <w:szCs w:val="24"/>
              </w:rPr>
            </w:pPr>
          </w:p>
        </w:tc>
        <w:tc>
          <w:tcPr>
            <w:tcW w:w="1210" w:type="dxa"/>
            <w:shd w:val="clear" w:color="auto" w:fill="auto"/>
            <w:vAlign w:val="center"/>
          </w:tcPr>
          <w:p w14:paraId="5E2ADA72">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000000"/>
                <w:sz w:val="24"/>
                <w:szCs w:val="24"/>
              </w:rPr>
              <w:t>安装接口</w:t>
            </w:r>
          </w:p>
        </w:tc>
        <w:tc>
          <w:tcPr>
            <w:tcW w:w="1968" w:type="dxa"/>
            <w:shd w:val="clear" w:color="auto" w:fill="auto"/>
            <w:vAlign w:val="center"/>
          </w:tcPr>
          <w:p w14:paraId="619B00B3">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E27</w:t>
            </w:r>
          </w:p>
        </w:tc>
        <w:tc>
          <w:tcPr>
            <w:tcW w:w="1976" w:type="dxa"/>
            <w:shd w:val="clear" w:color="auto" w:fill="auto"/>
            <w:vAlign w:val="center"/>
          </w:tcPr>
          <w:p w14:paraId="668EE2F5">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类型</w:t>
            </w:r>
          </w:p>
        </w:tc>
        <w:tc>
          <w:tcPr>
            <w:tcW w:w="1324" w:type="dxa"/>
            <w:shd w:val="clear" w:color="auto" w:fill="auto"/>
            <w:vAlign w:val="center"/>
          </w:tcPr>
          <w:p w14:paraId="7B7E58E9">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LED球泡灯</w:t>
            </w:r>
          </w:p>
        </w:tc>
      </w:tr>
      <w:tr w14:paraId="2AE4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1030" w:type="dxa"/>
            <w:shd w:val="clear" w:color="auto" w:fill="auto"/>
            <w:vAlign w:val="center"/>
          </w:tcPr>
          <w:p w14:paraId="3B78CEF0">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bidi="ar"/>
              </w:rPr>
              <w:t>效果描述</w:t>
            </w:r>
          </w:p>
        </w:tc>
        <w:tc>
          <w:tcPr>
            <w:tcW w:w="7306" w:type="dxa"/>
            <w:gridSpan w:val="5"/>
            <w:shd w:val="clear" w:color="auto" w:fill="auto"/>
            <w:vAlign w:val="center"/>
          </w:tcPr>
          <w:p w14:paraId="0BA98820">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表面出光均匀,内部颗粒不可见，不可产生眩光。</w:t>
            </w:r>
          </w:p>
        </w:tc>
      </w:tr>
      <w:tr w14:paraId="038B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1030" w:type="dxa"/>
            <w:shd w:val="clear" w:color="auto" w:fill="auto"/>
            <w:vAlign w:val="center"/>
          </w:tcPr>
          <w:p w14:paraId="4F773120">
            <w:pPr>
              <w:widowControl/>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bidi="ar"/>
              </w:rPr>
              <w:t>光效</w:t>
            </w:r>
          </w:p>
        </w:tc>
        <w:tc>
          <w:tcPr>
            <w:tcW w:w="7306" w:type="dxa"/>
            <w:gridSpan w:val="5"/>
            <w:shd w:val="clear" w:color="auto" w:fill="auto"/>
            <w:vAlign w:val="center"/>
          </w:tcPr>
          <w:p w14:paraId="03DC1AE6">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灯具光效≥60lm/W</w:t>
            </w:r>
          </w:p>
        </w:tc>
      </w:tr>
      <w:tr w14:paraId="0914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1030" w:type="dxa"/>
            <w:vMerge w:val="restart"/>
            <w:shd w:val="clear" w:color="auto" w:fill="auto"/>
            <w:vAlign w:val="center"/>
          </w:tcPr>
          <w:p w14:paraId="40966364">
            <w:pPr>
              <w:widowControl/>
              <w:jc w:val="center"/>
              <w:textAlignment w:val="center"/>
              <w:rPr>
                <w:rFonts w:hint="default" w:ascii="仿宋_GB2312" w:hAnsi="仿宋_GB2312" w:eastAsia="仿宋_GB2312" w:cs="仿宋_GB2312"/>
                <w:b/>
                <w:kern w:val="0"/>
                <w:sz w:val="24"/>
                <w:szCs w:val="24"/>
                <w:lang w:val="en-US" w:eastAsia="zh-CN" w:bidi="ar"/>
              </w:rPr>
            </w:pPr>
            <w:r>
              <w:rPr>
                <w:rFonts w:hint="eastAsia" w:ascii="仿宋_GB2312" w:hAnsi="仿宋_GB2312" w:eastAsia="仿宋_GB2312" w:cs="仿宋_GB2312"/>
                <w:b/>
                <w:kern w:val="0"/>
                <w:sz w:val="24"/>
                <w:szCs w:val="24"/>
                <w:lang w:val="en-US" w:eastAsia="zh-CN" w:bidi="ar"/>
              </w:rPr>
              <w:t>光学要求</w:t>
            </w:r>
          </w:p>
        </w:tc>
        <w:tc>
          <w:tcPr>
            <w:tcW w:w="7306" w:type="dxa"/>
            <w:gridSpan w:val="5"/>
            <w:shd w:val="clear" w:color="auto" w:fill="auto"/>
            <w:vAlign w:val="center"/>
          </w:tcPr>
          <w:p w14:paraId="139FDEE6">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道路宽：2米。灯具安装间距：8米。灯具安装方式：单侧安装。灯具离道路侧石：0.5米。</w:t>
            </w:r>
          </w:p>
        </w:tc>
      </w:tr>
      <w:tr w14:paraId="57A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1030" w:type="dxa"/>
            <w:vMerge w:val="continue"/>
            <w:shd w:val="clear" w:color="auto" w:fill="auto"/>
            <w:vAlign w:val="center"/>
          </w:tcPr>
          <w:p w14:paraId="2994C740">
            <w:pPr>
              <w:widowControl/>
              <w:jc w:val="center"/>
              <w:textAlignment w:val="center"/>
              <w:rPr>
                <w:rFonts w:hint="eastAsia" w:ascii="仿宋_GB2312" w:hAnsi="仿宋_GB2312" w:eastAsia="仿宋_GB2312" w:cs="仿宋_GB2312"/>
                <w:b/>
                <w:kern w:val="0"/>
                <w:sz w:val="24"/>
                <w:szCs w:val="24"/>
                <w:lang w:val="en-US" w:eastAsia="zh-CN" w:bidi="ar"/>
              </w:rPr>
            </w:pPr>
          </w:p>
        </w:tc>
        <w:tc>
          <w:tcPr>
            <w:tcW w:w="4006" w:type="dxa"/>
            <w:gridSpan w:val="3"/>
            <w:shd w:val="clear" w:color="auto" w:fill="auto"/>
            <w:vAlign w:val="center"/>
          </w:tcPr>
          <w:p w14:paraId="1351FB48">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地面平均照度</w:t>
            </w:r>
          </w:p>
        </w:tc>
        <w:tc>
          <w:tcPr>
            <w:tcW w:w="3300" w:type="dxa"/>
            <w:gridSpan w:val="2"/>
            <w:shd w:val="clear" w:color="auto" w:fill="auto"/>
            <w:vAlign w:val="center"/>
          </w:tcPr>
          <w:p w14:paraId="6F45E161">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≧5 Lx</w:t>
            </w:r>
          </w:p>
        </w:tc>
      </w:tr>
      <w:tr w14:paraId="3AF2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1030" w:type="dxa"/>
            <w:shd w:val="clear" w:color="auto" w:fill="auto"/>
            <w:vAlign w:val="center"/>
          </w:tcPr>
          <w:p w14:paraId="491279A9">
            <w:pPr>
              <w:widowControl/>
              <w:jc w:val="center"/>
              <w:textAlignment w:val="center"/>
              <w:rPr>
                <w:rFonts w:hint="default" w:ascii="仿宋_GB2312" w:hAnsi="仿宋_GB2312" w:eastAsia="仿宋_GB2312" w:cs="仿宋_GB2312"/>
                <w:b/>
                <w:kern w:val="0"/>
                <w:sz w:val="24"/>
                <w:szCs w:val="24"/>
                <w:lang w:val="en-US" w:eastAsia="zh-CN" w:bidi="ar"/>
              </w:rPr>
            </w:pPr>
            <w:r>
              <w:rPr>
                <w:rFonts w:hint="eastAsia" w:ascii="仿宋_GB2312" w:hAnsi="仿宋_GB2312" w:eastAsia="仿宋_GB2312" w:cs="仿宋_GB2312"/>
                <w:b/>
                <w:kern w:val="0"/>
                <w:sz w:val="24"/>
                <w:szCs w:val="24"/>
                <w:lang w:val="en-US" w:eastAsia="zh-CN" w:bidi="ar"/>
              </w:rPr>
              <w:t>法兰要求</w:t>
            </w:r>
          </w:p>
        </w:tc>
        <w:tc>
          <w:tcPr>
            <w:tcW w:w="7306" w:type="dxa"/>
            <w:gridSpan w:val="5"/>
            <w:shd w:val="clear" w:color="auto" w:fill="auto"/>
            <w:vAlign w:val="center"/>
          </w:tcPr>
          <w:p w14:paraId="4730191A">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法兰盘安装孔中心距为140×140mm，如图。法兰盘材质为12毫米Q235优质钢板，附钢材生产厂家“产品质量证明书”。</w:t>
            </w:r>
          </w:p>
          <w:p w14:paraId="4601B60C">
            <w:pPr>
              <w:widowControl/>
              <w:jc w:val="center"/>
              <w:textAlignment w:val="center"/>
              <w:rPr>
                <w:rFonts w:hint="eastAsia" w:ascii="仿宋_GB2312" w:hAnsi="仿宋_GB2312" w:eastAsia="仿宋_GB2312" w:cs="仿宋_GB2312"/>
                <w:kern w:val="0"/>
                <w:sz w:val="24"/>
                <w:szCs w:val="24"/>
                <w:lang w:bidi="ar"/>
              </w:rPr>
            </w:pPr>
            <w:r>
              <w:rPr>
                <w:rFonts w:ascii="宋体" w:hAnsi="宋体" w:cs="宋体"/>
                <w:b/>
                <w:sz w:val="24"/>
              </w:rPr>
              <w:drawing>
                <wp:inline distT="0" distB="0" distL="114300" distR="114300">
                  <wp:extent cx="2759075" cy="2374265"/>
                  <wp:effectExtent l="0" t="0" r="9525" b="635"/>
                  <wp:docPr id="2" name="图片 1" descr="草坪灯法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草坪灯法兰2"/>
                          <pic:cNvPicPr>
                            <a:picLocks noChangeAspect="1"/>
                          </pic:cNvPicPr>
                        </pic:nvPicPr>
                        <pic:blipFill>
                          <a:blip r:embed="rId6"/>
                          <a:srcRect l="16924" t="7481" r="9393" b="29301"/>
                          <a:stretch>
                            <a:fillRect/>
                          </a:stretch>
                        </pic:blipFill>
                        <pic:spPr>
                          <a:xfrm>
                            <a:off x="0" y="0"/>
                            <a:ext cx="2759075" cy="2374265"/>
                          </a:xfrm>
                          <a:prstGeom prst="rect">
                            <a:avLst/>
                          </a:prstGeom>
                          <a:noFill/>
                          <a:ln>
                            <a:noFill/>
                          </a:ln>
                        </pic:spPr>
                      </pic:pic>
                    </a:graphicData>
                  </a:graphic>
                </wp:inline>
              </w:drawing>
            </w:r>
          </w:p>
        </w:tc>
      </w:tr>
      <w:tr w14:paraId="7DC9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1030" w:type="dxa"/>
            <w:shd w:val="clear" w:color="auto" w:fill="auto"/>
            <w:vAlign w:val="center"/>
          </w:tcPr>
          <w:p w14:paraId="2D8FEAF8">
            <w:pPr>
              <w:widowControl/>
              <w:jc w:val="center"/>
              <w:textAlignment w:val="center"/>
              <w:rPr>
                <w:rFonts w:hint="default" w:ascii="仿宋_GB2312" w:hAnsi="仿宋_GB2312" w:eastAsia="仿宋_GB2312" w:cs="仿宋_GB2312"/>
                <w:b/>
                <w:kern w:val="0"/>
                <w:sz w:val="24"/>
                <w:szCs w:val="24"/>
                <w:lang w:val="en-US" w:eastAsia="zh-CN" w:bidi="ar"/>
              </w:rPr>
            </w:pPr>
          </w:p>
        </w:tc>
        <w:tc>
          <w:tcPr>
            <w:tcW w:w="7306" w:type="dxa"/>
            <w:gridSpan w:val="5"/>
            <w:shd w:val="clear" w:color="auto" w:fill="auto"/>
            <w:vAlign w:val="center"/>
          </w:tcPr>
          <w:p w14:paraId="0F7D70E5">
            <w:pPr>
              <w:widowControl/>
              <w:jc w:val="center"/>
              <w:textAlignment w:val="center"/>
              <w:rPr>
                <w:rFonts w:hint="default" w:ascii="仿宋_GB2312" w:hAnsi="仿宋_GB2312" w:eastAsia="仿宋_GB2312" w:cs="仿宋_GB2312"/>
                <w:kern w:val="0"/>
                <w:sz w:val="24"/>
                <w:szCs w:val="24"/>
                <w:lang w:val="en-US" w:eastAsia="zh-CN" w:bidi="ar"/>
              </w:rPr>
            </w:pPr>
          </w:p>
        </w:tc>
      </w:tr>
    </w:tbl>
    <w:p w14:paraId="11772D26">
      <w:pP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br w:type="page"/>
      </w:r>
    </w:p>
    <w:p w14:paraId="2EF3FC77">
      <w:pP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w:t>
      </w:r>
      <w:r>
        <w:rPr>
          <w:sz w:val="24"/>
        </w:rPr>
        <w:t xml:space="preserve"> </w:t>
      </w:r>
      <w:r>
        <w:rPr>
          <w:rFonts w:hint="eastAsia" w:ascii="楷体_GB2312" w:hAnsi="楷体_GB2312" w:eastAsia="楷体_GB2312" w:cs="楷体_GB2312"/>
          <w:b w:val="0"/>
          <w:bCs w:val="0"/>
          <w:color w:val="auto"/>
          <w:kern w:val="2"/>
          <w:sz w:val="32"/>
          <w:szCs w:val="32"/>
          <w:highlight w:val="none"/>
          <w:lang w:val="en-US" w:eastAsia="zh-CN" w:bidi="ar-SA"/>
        </w:rPr>
        <w:t>草坪灯转接法兰板</w:t>
      </w:r>
    </w:p>
    <w:tbl>
      <w:tblPr>
        <w:tblStyle w:val="3"/>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0"/>
        <w:gridCol w:w="7306"/>
      </w:tblGrid>
      <w:tr w14:paraId="052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1030" w:type="dxa"/>
            <w:shd w:val="clear" w:color="auto" w:fill="auto"/>
            <w:vAlign w:val="center"/>
          </w:tcPr>
          <w:p w14:paraId="05798771">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bidi="ar"/>
              </w:rPr>
              <w:t>外形</w:t>
            </w:r>
          </w:p>
          <w:p w14:paraId="48F7B5AD">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bidi="ar"/>
              </w:rPr>
              <w:t>尺寸</w:t>
            </w:r>
          </w:p>
          <w:p w14:paraId="58BACC1C">
            <w:pPr>
              <w:widowControl/>
              <w:jc w:val="center"/>
              <w:textAlignment w:val="center"/>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eastAsia="zh-CN" w:bidi="ar"/>
              </w:rPr>
              <w:t>（</w:t>
            </w:r>
            <w:r>
              <w:rPr>
                <w:rFonts w:hint="eastAsia" w:ascii="仿宋_GB2312" w:hAnsi="仿宋_GB2312" w:eastAsia="仿宋_GB2312" w:cs="仿宋_GB2312"/>
                <w:b/>
                <w:kern w:val="0"/>
                <w:sz w:val="24"/>
                <w:szCs w:val="24"/>
                <w:lang w:val="en-US" w:eastAsia="zh-CN" w:bidi="ar"/>
              </w:rPr>
              <w:t>仅供参考）</w:t>
            </w:r>
          </w:p>
          <w:p w14:paraId="1D5BD072">
            <w:pPr>
              <w:widowControl/>
              <w:jc w:val="center"/>
              <w:textAlignment w:val="center"/>
              <w:rPr>
                <w:rFonts w:hint="default" w:ascii="仿宋_GB2312" w:hAnsi="仿宋_GB2312" w:eastAsia="仿宋_GB2312" w:cs="仿宋_GB2312"/>
                <w:b/>
                <w:kern w:val="0"/>
                <w:sz w:val="24"/>
                <w:szCs w:val="24"/>
                <w:lang w:val="en-US" w:eastAsia="zh-CN" w:bidi="ar"/>
              </w:rPr>
            </w:pPr>
          </w:p>
        </w:tc>
        <w:tc>
          <w:tcPr>
            <w:tcW w:w="7306" w:type="dxa"/>
            <w:shd w:val="clear" w:color="auto" w:fill="auto"/>
            <w:vAlign w:val="center"/>
          </w:tcPr>
          <w:p w14:paraId="25512A49">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需由中标单位踏勘现场后深化设计，采购单位确认后方可实施。</w:t>
            </w:r>
          </w:p>
          <w:p w14:paraId="27CE33ED">
            <w:pPr>
              <w:widowControl/>
              <w:jc w:val="center"/>
              <w:textAlignment w:val="center"/>
              <w:rPr>
                <w:rFonts w:hint="default"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drawing>
                <wp:inline distT="0" distB="0" distL="114300" distR="114300">
                  <wp:extent cx="2913380" cy="4152265"/>
                  <wp:effectExtent l="0" t="0" r="7620" b="635"/>
                  <wp:docPr id="3" name="图片 3" descr="173025743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257437248"/>
                          <pic:cNvPicPr>
                            <a:picLocks noChangeAspect="1"/>
                          </pic:cNvPicPr>
                        </pic:nvPicPr>
                        <pic:blipFill>
                          <a:blip r:embed="rId7"/>
                          <a:stretch>
                            <a:fillRect/>
                          </a:stretch>
                        </pic:blipFill>
                        <pic:spPr>
                          <a:xfrm>
                            <a:off x="0" y="0"/>
                            <a:ext cx="2913380" cy="4152265"/>
                          </a:xfrm>
                          <a:prstGeom prst="rect">
                            <a:avLst/>
                          </a:prstGeom>
                        </pic:spPr>
                      </pic:pic>
                    </a:graphicData>
                  </a:graphic>
                </wp:inline>
              </w:drawing>
            </w:r>
          </w:p>
          <w:p w14:paraId="621A5544">
            <w:pPr>
              <w:widowControl/>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Q235材质</w:t>
            </w:r>
          </w:p>
        </w:tc>
      </w:tr>
    </w:tbl>
    <w:p w14:paraId="2983C1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EBC12"/>
    <w:multiLevelType w:val="singleLevel"/>
    <w:tmpl w:val="932EBC12"/>
    <w:lvl w:ilvl="0" w:tentative="0">
      <w:start w:val="1"/>
      <w:numFmt w:val="decimal"/>
      <w:lvlText w:val="(%1)"/>
      <w:lvlJc w:val="left"/>
      <w:pPr>
        <w:ind w:left="425" w:hanging="425"/>
      </w:pPr>
      <w:rPr>
        <w:rFonts w:hint="default"/>
      </w:rPr>
    </w:lvl>
  </w:abstractNum>
  <w:abstractNum w:abstractNumId="1">
    <w:nsid w:val="BEC569CD"/>
    <w:multiLevelType w:val="singleLevel"/>
    <w:tmpl w:val="BEC569CD"/>
    <w:lvl w:ilvl="0" w:tentative="0">
      <w:start w:val="1"/>
      <w:numFmt w:val="decimal"/>
      <w:lvlText w:val="(%1)"/>
      <w:lvlJc w:val="left"/>
      <w:pPr>
        <w:ind w:left="425" w:hanging="425"/>
      </w:pPr>
      <w:rPr>
        <w:rFonts w:hint="default"/>
      </w:rPr>
    </w:lvl>
  </w:abstractNum>
  <w:abstractNum w:abstractNumId="2">
    <w:nsid w:val="CE8E1EAB"/>
    <w:multiLevelType w:val="singleLevel"/>
    <w:tmpl w:val="CE8E1EAB"/>
    <w:lvl w:ilvl="0" w:tentative="0">
      <w:start w:val="1"/>
      <w:numFmt w:val="chineseCounting"/>
      <w:suff w:val="nothing"/>
      <w:lvlText w:val="%1、"/>
      <w:lvlJc w:val="left"/>
      <w:pPr>
        <w:ind w:left="0" w:firstLine="420"/>
      </w:pPr>
      <w:rPr>
        <w:rFonts w:hint="eastAsia"/>
      </w:rPr>
    </w:lvl>
  </w:abstractNum>
  <w:abstractNum w:abstractNumId="3">
    <w:nsid w:val="D2AF975E"/>
    <w:multiLevelType w:val="singleLevel"/>
    <w:tmpl w:val="D2AF975E"/>
    <w:lvl w:ilvl="0" w:tentative="0">
      <w:start w:val="1"/>
      <w:numFmt w:val="decimal"/>
      <w:lvlText w:val="(%1)"/>
      <w:lvlJc w:val="left"/>
      <w:pPr>
        <w:ind w:left="425" w:hanging="425"/>
      </w:pPr>
      <w:rPr>
        <w:rFonts w:hint="default"/>
      </w:rPr>
    </w:lvl>
  </w:abstractNum>
  <w:abstractNum w:abstractNumId="4">
    <w:nsid w:val="ED0BCBF4"/>
    <w:multiLevelType w:val="singleLevel"/>
    <w:tmpl w:val="ED0BCBF4"/>
    <w:lvl w:ilvl="0" w:tentative="0">
      <w:start w:val="1"/>
      <w:numFmt w:val="chineseCounting"/>
      <w:suff w:val="nothing"/>
      <w:lvlText w:val="（%1）"/>
      <w:lvlJc w:val="left"/>
      <w:pPr>
        <w:ind w:left="0" w:firstLine="420"/>
      </w:pPr>
      <w:rPr>
        <w:rFonts w:hint="eastAsia"/>
      </w:rPr>
    </w:lvl>
  </w:abstractNum>
  <w:abstractNum w:abstractNumId="5">
    <w:nsid w:val="2CA3D927"/>
    <w:multiLevelType w:val="singleLevel"/>
    <w:tmpl w:val="2CA3D927"/>
    <w:lvl w:ilvl="0" w:tentative="0">
      <w:start w:val="1"/>
      <w:numFmt w:val="chineseCounting"/>
      <w:suff w:val="nothing"/>
      <w:lvlText w:val="（%1）"/>
      <w:lvlJc w:val="left"/>
      <w:pPr>
        <w:ind w:left="0" w:firstLine="420"/>
      </w:pPr>
      <w:rPr>
        <w:rFonts w:hint="eastAsia"/>
      </w:rPr>
    </w:lvl>
  </w:abstractNum>
  <w:abstractNum w:abstractNumId="6">
    <w:nsid w:val="57CB0BB2"/>
    <w:multiLevelType w:val="singleLevel"/>
    <w:tmpl w:val="57CB0BB2"/>
    <w:lvl w:ilvl="0" w:tentative="0">
      <w:start w:val="1"/>
      <w:numFmt w:val="decimal"/>
      <w:lvlText w:val="(%1)"/>
      <w:lvlJc w:val="left"/>
      <w:pPr>
        <w:ind w:left="425" w:hanging="425"/>
      </w:pPr>
      <w:rPr>
        <w:rFonts w:hint="default"/>
      </w:rPr>
    </w:lvl>
  </w:abstractNum>
  <w:abstractNum w:abstractNumId="7">
    <w:nsid w:val="5FE67837"/>
    <w:multiLevelType w:val="singleLevel"/>
    <w:tmpl w:val="5FE67837"/>
    <w:lvl w:ilvl="0" w:tentative="0">
      <w:start w:val="1"/>
      <w:numFmt w:val="decimal"/>
      <w:lvlText w:val="(%1)"/>
      <w:lvlJc w:val="left"/>
      <w:pPr>
        <w:ind w:left="425" w:hanging="425"/>
      </w:pPr>
      <w:rPr>
        <w:rFonts w:hint="default"/>
      </w:rPr>
    </w:lvl>
  </w:abstractNum>
  <w:abstractNum w:abstractNumId="8">
    <w:nsid w:val="6C07A860"/>
    <w:multiLevelType w:val="singleLevel"/>
    <w:tmpl w:val="6C07A860"/>
    <w:lvl w:ilvl="0" w:tentative="0">
      <w:start w:val="1"/>
      <w:numFmt w:val="decimal"/>
      <w:lvlText w:val="(%1)"/>
      <w:lvlJc w:val="left"/>
      <w:pPr>
        <w:ind w:left="425" w:hanging="425"/>
      </w:pPr>
      <w:rPr>
        <w:rFonts w:hint="default"/>
      </w:rPr>
    </w:lvl>
  </w:abstractNum>
  <w:abstractNum w:abstractNumId="9">
    <w:nsid w:val="7FFE60EE"/>
    <w:multiLevelType w:val="singleLevel"/>
    <w:tmpl w:val="7FFE60EE"/>
    <w:lvl w:ilvl="0" w:tentative="0">
      <w:start w:val="1"/>
      <w:numFmt w:val="decimal"/>
      <w:suff w:val="space"/>
      <w:lvlText w:val="(%1)"/>
      <w:lvlJc w:val="left"/>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8"/>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YTUzM2M3NmJlNGM5YzhlMTY3MDAzMDdiNDA4YmEifQ=="/>
  </w:docVars>
  <w:rsids>
    <w:rsidRoot w:val="00000000"/>
    <w:rsid w:val="03680E50"/>
    <w:rsid w:val="03EC63C9"/>
    <w:rsid w:val="067F1777"/>
    <w:rsid w:val="0708176C"/>
    <w:rsid w:val="0AC57974"/>
    <w:rsid w:val="0B0264D2"/>
    <w:rsid w:val="0CF87B8D"/>
    <w:rsid w:val="12EA61CA"/>
    <w:rsid w:val="16855752"/>
    <w:rsid w:val="1B067919"/>
    <w:rsid w:val="1D4666F2"/>
    <w:rsid w:val="1F5F3584"/>
    <w:rsid w:val="26F67002"/>
    <w:rsid w:val="2B44658C"/>
    <w:rsid w:val="2D0143E4"/>
    <w:rsid w:val="2D145EC5"/>
    <w:rsid w:val="2D553944"/>
    <w:rsid w:val="33A53D1B"/>
    <w:rsid w:val="342804A8"/>
    <w:rsid w:val="4253296F"/>
    <w:rsid w:val="42C64522"/>
    <w:rsid w:val="476A2E5A"/>
    <w:rsid w:val="477517FF"/>
    <w:rsid w:val="48E76F02"/>
    <w:rsid w:val="4C04050A"/>
    <w:rsid w:val="5371731E"/>
    <w:rsid w:val="599975CF"/>
    <w:rsid w:val="5A5F48DF"/>
    <w:rsid w:val="5B975B31"/>
    <w:rsid w:val="5D3C5F77"/>
    <w:rsid w:val="5E4A533B"/>
    <w:rsid w:val="5E712F9F"/>
    <w:rsid w:val="5FBE7D8F"/>
    <w:rsid w:val="5FDF6E7F"/>
    <w:rsid w:val="600F05EB"/>
    <w:rsid w:val="60C413D5"/>
    <w:rsid w:val="629B7F14"/>
    <w:rsid w:val="62DD6037"/>
    <w:rsid w:val="68802085"/>
    <w:rsid w:val="6BD66460"/>
    <w:rsid w:val="6DD36058"/>
    <w:rsid w:val="71063344"/>
    <w:rsid w:val="73F50CD8"/>
    <w:rsid w:val="74EE65C9"/>
    <w:rsid w:val="789922BC"/>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50" w:afterLines="150"/>
      <w:jc w:val="center"/>
      <w:outlineLvl w:val="0"/>
    </w:pPr>
    <w:rPr>
      <w:rFonts w:ascii="Times New Roman" w:hAnsi="Times New Roman" w:cs="Times New Roman"/>
      <w:b/>
      <w:kern w:val="44"/>
      <w:sz w:val="48"/>
      <w:szCs w:val="20"/>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列出段落1"/>
    <w:basedOn w:val="1"/>
    <w:autoRedefine/>
    <w:qFormat/>
    <w:uiPriority w:val="0"/>
    <w:pPr>
      <w:adjustRightInd w:val="0"/>
      <w:spacing w:line="312" w:lineRule="atLeast"/>
      <w:ind w:firstLine="420" w:firstLineChars="200"/>
    </w:pPr>
    <w:rPr>
      <w:rFonts w:ascii="等线" w:hAnsi="等线" w:eastAsia="等线" w:cs="Times New Roman"/>
      <w:szCs w:val="22"/>
    </w:rPr>
  </w:style>
  <w:style w:type="paragraph" w:customStyle="1" w:styleId="7">
    <w:name w:val="_Style 2"/>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4404</Words>
  <Characters>4926</Characters>
  <Lines>0</Lines>
  <Paragraphs>0</Paragraphs>
  <TotalTime>0</TotalTime>
  <ScaleCrop>false</ScaleCrop>
  <LinksUpToDate>false</LinksUpToDate>
  <CharactersWithSpaces>4952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2024-10-28T02:13:00Z</dcterms:created>
  <dc:creator>Administrator</dc:creator>
  <cp:lastModifiedBy>A</cp:lastModifiedBy>
  <cp:lastPrinted>2024-10-30T03:14:00Z</cp:lastPrinted>
  <dcterms:modified xsi:type="dcterms:W3CDTF">2024-11-19T01:49:55Z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8944A77EEF4B4F4CAD53D529C72FE15D_12</vt:lpwstr>
  </property>
</Properties>
</file>