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BB51E">
      <w:pPr>
        <w:numPr>
          <w:numId w:val="0"/>
        </w:numPr>
        <w:spacing w:after="312" w:afterLines="100" w:line="480" w:lineRule="auto"/>
        <w:ind w:leftChars="0"/>
        <w:jc w:val="center"/>
        <w:rPr>
          <w:rFonts w:ascii="宋体" w:hAnsi="宋体"/>
          <w:sz w:val="24"/>
        </w:rPr>
      </w:pPr>
      <w:r>
        <w:rPr>
          <w:rFonts w:hint="eastAsia" w:ascii="宋体" w:hAnsi="宋体"/>
          <w:b/>
          <w:sz w:val="44"/>
          <w:lang w:val="en-US" w:eastAsia="zh-CN"/>
        </w:rPr>
        <w:t>采购</w:t>
      </w:r>
      <w:r>
        <w:rPr>
          <w:rFonts w:hint="eastAsia" w:ascii="宋体" w:hAnsi="宋体"/>
          <w:b/>
          <w:sz w:val="44"/>
        </w:rPr>
        <w:t>内容及要求</w:t>
      </w:r>
    </w:p>
    <w:p w14:paraId="320C415C">
      <w:pPr>
        <w:spacing w:line="360" w:lineRule="auto"/>
        <w:ind w:firstLine="482"/>
        <w:rPr>
          <w:rFonts w:ascii="宋体" w:hAnsi="宋体"/>
          <w:b/>
          <w:sz w:val="24"/>
        </w:rPr>
      </w:pPr>
      <w:r>
        <w:rPr>
          <w:rFonts w:hint="eastAsia" w:ascii="宋体" w:hAnsi="宋体"/>
          <w:b/>
          <w:sz w:val="24"/>
        </w:rPr>
        <w:t>一、</w:t>
      </w:r>
      <w:r>
        <w:rPr>
          <w:rFonts w:hint="eastAsia" w:ascii="宋体" w:hAnsi="宋体"/>
          <w:b/>
          <w:sz w:val="24"/>
          <w:lang w:val="en-US" w:eastAsia="zh-CN"/>
        </w:rPr>
        <w:t>采购</w:t>
      </w:r>
      <w:r>
        <w:rPr>
          <w:rFonts w:hint="eastAsia" w:ascii="宋体" w:hAnsi="宋体"/>
          <w:b/>
          <w:sz w:val="24"/>
        </w:rPr>
        <w:t>内容</w:t>
      </w:r>
    </w:p>
    <w:p w14:paraId="54C29D85">
      <w:pPr>
        <w:spacing w:line="360" w:lineRule="auto"/>
        <w:ind w:firstLine="480"/>
        <w:rPr>
          <w:rFonts w:ascii="宋体" w:hAnsi="宋体"/>
          <w:bCs/>
          <w:sz w:val="24"/>
          <w:highlight w:val="none"/>
        </w:rPr>
      </w:pPr>
      <w:r>
        <w:rPr>
          <w:rFonts w:hint="eastAsia" w:ascii="宋体" w:hAnsi="宋体"/>
          <w:bCs/>
          <w:sz w:val="24"/>
        </w:rPr>
        <w:t>路灯设施现场喷</w:t>
      </w:r>
      <w:r>
        <w:rPr>
          <w:rFonts w:hint="eastAsia" w:ascii="宋体" w:hAnsi="宋体"/>
          <w:bCs/>
          <w:sz w:val="24"/>
          <w:highlight w:val="none"/>
        </w:rPr>
        <w:t>漆施工；</w:t>
      </w:r>
    </w:p>
    <w:p w14:paraId="0098C63A">
      <w:pPr>
        <w:spacing w:line="360" w:lineRule="auto"/>
        <w:ind w:firstLine="480"/>
        <w:rPr>
          <w:rFonts w:hint="eastAsia" w:ascii="宋体" w:hAnsi="宋体" w:cs="宋体"/>
          <w:sz w:val="24"/>
          <w:highlight w:val="none"/>
        </w:rPr>
      </w:pPr>
      <w:r>
        <w:rPr>
          <w:rFonts w:hint="eastAsia" w:ascii="宋体" w:hAnsi="宋体"/>
          <w:sz w:val="24"/>
          <w:highlight w:val="none"/>
        </w:rPr>
        <w:t>本项目预算喷涂面积</w:t>
      </w:r>
      <w:r>
        <w:rPr>
          <w:rFonts w:hint="eastAsia" w:ascii="宋体" w:hAnsi="宋体"/>
          <w:sz w:val="24"/>
          <w:highlight w:val="none"/>
          <w:lang w:val="en-US" w:eastAsia="zh-CN"/>
        </w:rPr>
        <w:t>500</w:t>
      </w:r>
      <w:r>
        <w:rPr>
          <w:rFonts w:hint="eastAsia" w:ascii="宋体" w:hAnsi="宋体"/>
          <w:sz w:val="24"/>
          <w:highlight w:val="none"/>
        </w:rPr>
        <w:t>平方米，按实结算</w:t>
      </w:r>
    </w:p>
    <w:p w14:paraId="6CD82803">
      <w:pPr>
        <w:spacing w:line="360" w:lineRule="auto"/>
        <w:ind w:firstLine="480"/>
        <w:rPr>
          <w:b/>
          <w:sz w:val="24"/>
          <w:highlight w:val="none"/>
        </w:rPr>
      </w:pPr>
      <w:r>
        <w:rPr>
          <w:rFonts w:hint="eastAsia"/>
          <w:b/>
          <w:sz w:val="24"/>
          <w:highlight w:val="none"/>
        </w:rPr>
        <w:t>二、具体要求</w:t>
      </w:r>
    </w:p>
    <w:p w14:paraId="6A4CD7B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（一）</w:t>
      </w:r>
      <w:bookmarkStart w:id="0" w:name="_Hlk141883764"/>
      <w:r>
        <w:rPr>
          <w:rFonts w:hint="eastAsia" w:ascii="宋体" w:hAnsi="宋体" w:cs="宋体"/>
          <w:sz w:val="24"/>
          <w:highlight w:val="none"/>
        </w:rPr>
        <w:t>现场施工要求</w:t>
      </w:r>
      <w:bookmarkEnd w:id="0"/>
      <w:r>
        <w:rPr>
          <w:rFonts w:hint="eastAsia" w:ascii="宋体" w:hAnsi="宋体" w:cs="宋体"/>
          <w:sz w:val="24"/>
          <w:highlight w:val="none"/>
        </w:rPr>
        <w:t>：</w:t>
      </w:r>
    </w:p>
    <w:p w14:paraId="6B599F8B">
      <w:pPr>
        <w:spacing w:line="360" w:lineRule="auto"/>
        <w:ind w:firstLine="480" w:firstLineChars="200"/>
        <w:rPr>
          <w:rFonts w:hint="eastAsia"/>
          <w:sz w:val="24"/>
          <w:highlight w:val="none"/>
        </w:rPr>
      </w:pPr>
      <w:r>
        <w:rPr>
          <w:rFonts w:hint="eastAsia"/>
          <w:sz w:val="24"/>
          <w:highlight w:val="none"/>
        </w:rPr>
        <w:t>1、灯杆喷漆工艺流程</w:t>
      </w:r>
    </w:p>
    <w:p w14:paraId="06BB3850">
      <w:pPr>
        <w:spacing w:line="360" w:lineRule="auto"/>
        <w:ind w:firstLine="480" w:firstLineChars="200"/>
        <w:jc w:val="left"/>
        <w:rPr>
          <w:rFonts w:hint="eastAsia" w:ascii="宋体" w:hAnsi="宋体"/>
          <w:sz w:val="24"/>
          <w:highlight w:val="none"/>
        </w:rPr>
      </w:pPr>
      <w:r>
        <w:rPr>
          <w:rFonts w:hint="eastAsia" w:ascii="宋体" w:hAnsi="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1630680</wp:posOffset>
                </wp:positionH>
                <wp:positionV relativeFrom="paragraph">
                  <wp:posOffset>137160</wp:posOffset>
                </wp:positionV>
                <wp:extent cx="390525" cy="0"/>
                <wp:effectExtent l="0" t="38100" r="9525" b="38100"/>
                <wp:wrapNone/>
                <wp:docPr id="2" name="直接箭头连接符 2"/>
                <wp:cNvGraphicFramePr/>
                <a:graphic xmlns:a="http://schemas.openxmlformats.org/drawingml/2006/main">
                  <a:graphicData uri="http://schemas.microsoft.com/office/word/2010/wordprocessingShape">
                    <wps:wsp>
                      <wps:cNvCnPr/>
                      <wps:spPr>
                        <a:xfrm>
                          <a:off x="0" y="0"/>
                          <a:ext cx="3905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28.4pt;margin-top:10.8pt;height:0pt;width:30.75pt;z-index:251659264;mso-width-relative:page;mso-height-relative:page;" o:connectortype="straight" filled="f" stroked="t" coordsize="21600,21600" o:gfxdata="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lBBl2QAAAAkBAAAPAAAAAAAAAAEAIAAAACIAAABkcnMv&#10;ZG93bnJldi54bWxQSwECFAAUAAAACACHTuJAdlW71wICAADvAwAADgAAAAAAAAABACAAAAAoAQAA&#10;ZHJzL2Uyb0RvYy54bWxQSwUGAAAAAAYABgBZAQAAnAUAAAAA&#10;">
                <v:fill on="f" focussize="0,0"/>
                <v:stroke color="#000000" joinstyle="round" endarrow="block"/>
                <v:imagedata o:title=""/>
                <o:lock v:ext="edit" aspectratio="f"/>
              </v:shape>
            </w:pict>
          </mc:Fallback>
        </mc:AlternateContent>
      </w:r>
      <w:r>
        <w:rPr>
          <w:rFonts w:hint="eastAsia" w:ascii="宋体" w:hAnsi="宋体"/>
          <w:sz w:val="24"/>
          <w:highlight w:val="none"/>
        </w:rPr>
        <w:t xml:space="preserve">灯杆表面擦拭干净       灯杆表面老化处打磨抛沙批灰除锈 </w:t>
      </w:r>
      <w:r>
        <w:rPr>
          <w:rFonts w:ascii="宋体" w:hAnsi="宋体"/>
          <w:sz w:val="24"/>
          <w:highlight w:val="none"/>
        </w:rPr>
        <w:drawing>
          <wp:inline distT="0" distB="0" distL="114300" distR="114300">
            <wp:extent cx="428625" cy="123825"/>
            <wp:effectExtent l="0" t="0" r="9525" b="825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Rot="1" noChangeAspect="1"/>
                    </pic:cNvPicPr>
                  </pic:nvPicPr>
                  <pic:blipFill>
                    <a:blip r:embed="rId4"/>
                    <a:stretch>
                      <a:fillRect/>
                    </a:stretch>
                  </pic:blipFill>
                  <pic:spPr>
                    <a:xfrm>
                      <a:off x="0" y="0"/>
                      <a:ext cx="428625" cy="123825"/>
                    </a:xfrm>
                    <a:prstGeom prst="rect">
                      <a:avLst/>
                    </a:prstGeom>
                    <a:noFill/>
                    <a:ln>
                      <a:noFill/>
                    </a:ln>
                  </pic:spPr>
                </pic:pic>
              </a:graphicData>
            </a:graphic>
          </wp:inline>
        </w:drawing>
      </w:r>
      <w:r>
        <w:rPr>
          <w:rFonts w:hint="eastAsia" w:ascii="宋体" w:hAnsi="宋体"/>
          <w:sz w:val="24"/>
          <w:highlight w:val="none"/>
        </w:rPr>
        <w:t>双色灯杆连接处粘贴美纹纸</w:t>
      </w:r>
      <w:r>
        <w:rPr>
          <w:rFonts w:ascii="宋体" w:hAnsi="宋体"/>
          <w:sz w:val="24"/>
          <w:highlight w:val="none"/>
        </w:rPr>
        <w:drawing>
          <wp:inline distT="0" distB="0" distL="114300" distR="114300">
            <wp:extent cx="428625" cy="123825"/>
            <wp:effectExtent l="0" t="0" r="9525" b="8255"/>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Rot="1" noChangeAspect="1"/>
                    </pic:cNvPicPr>
                  </pic:nvPicPr>
                  <pic:blipFill>
                    <a:blip r:embed="rId4"/>
                    <a:stretch>
                      <a:fillRect/>
                    </a:stretch>
                  </pic:blipFill>
                  <pic:spPr>
                    <a:xfrm>
                      <a:off x="0" y="0"/>
                      <a:ext cx="428625" cy="123825"/>
                    </a:xfrm>
                    <a:prstGeom prst="rect">
                      <a:avLst/>
                    </a:prstGeom>
                    <a:noFill/>
                    <a:ln>
                      <a:noFill/>
                    </a:ln>
                  </pic:spPr>
                </pic:pic>
              </a:graphicData>
            </a:graphic>
          </wp:inline>
        </w:drawing>
      </w:r>
      <w:r>
        <w:rPr>
          <w:rFonts w:hint="eastAsia" w:ascii="宋体" w:hAnsi="宋体"/>
          <w:sz w:val="24"/>
          <w:highlight w:val="none"/>
        </w:rPr>
        <w:t>金属漆颜色调制</w:t>
      </w:r>
      <w:r>
        <w:rPr>
          <w:rFonts w:ascii="宋体" w:hAnsi="宋体"/>
          <w:sz w:val="24"/>
          <w:highlight w:val="none"/>
        </w:rPr>
        <w:drawing>
          <wp:inline distT="0" distB="0" distL="114300" distR="114300">
            <wp:extent cx="428625" cy="123825"/>
            <wp:effectExtent l="0" t="0" r="9525" b="8255"/>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Rot="1" noChangeAspect="1"/>
                    </pic:cNvPicPr>
                  </pic:nvPicPr>
                  <pic:blipFill>
                    <a:blip r:embed="rId4"/>
                    <a:stretch>
                      <a:fillRect/>
                    </a:stretch>
                  </pic:blipFill>
                  <pic:spPr>
                    <a:xfrm>
                      <a:off x="0" y="0"/>
                      <a:ext cx="428625" cy="123825"/>
                    </a:xfrm>
                    <a:prstGeom prst="rect">
                      <a:avLst/>
                    </a:prstGeom>
                    <a:noFill/>
                    <a:ln>
                      <a:noFill/>
                    </a:ln>
                  </pic:spPr>
                </pic:pic>
              </a:graphicData>
            </a:graphic>
          </wp:inline>
        </w:drawing>
      </w:r>
      <w:r>
        <w:rPr>
          <w:rFonts w:hint="eastAsia" w:ascii="宋体" w:hAnsi="宋体"/>
          <w:sz w:val="24"/>
          <w:highlight w:val="none"/>
        </w:rPr>
        <w:t>整体底漆第一遍（底漆采用环氧复锌漆防锈）</w:t>
      </w:r>
      <w:r>
        <w:rPr>
          <w:rFonts w:ascii="宋体" w:hAnsi="宋体"/>
          <w:sz w:val="24"/>
          <w:highlight w:val="none"/>
        </w:rPr>
        <w:drawing>
          <wp:inline distT="0" distB="0" distL="114300" distR="114300">
            <wp:extent cx="428625" cy="123825"/>
            <wp:effectExtent l="0" t="0" r="9525" b="8255"/>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Rot="1" noChangeAspect="1"/>
                    </pic:cNvPicPr>
                  </pic:nvPicPr>
                  <pic:blipFill>
                    <a:blip r:embed="rId4"/>
                    <a:stretch>
                      <a:fillRect/>
                    </a:stretch>
                  </pic:blipFill>
                  <pic:spPr>
                    <a:xfrm>
                      <a:off x="0" y="0"/>
                      <a:ext cx="428625" cy="123825"/>
                    </a:xfrm>
                    <a:prstGeom prst="rect">
                      <a:avLst/>
                    </a:prstGeom>
                    <a:noFill/>
                    <a:ln>
                      <a:noFill/>
                    </a:ln>
                  </pic:spPr>
                </pic:pic>
              </a:graphicData>
            </a:graphic>
          </wp:inline>
        </w:drawing>
      </w:r>
      <w:r>
        <w:rPr>
          <w:rFonts w:hint="eastAsia" w:ascii="宋体" w:hAnsi="宋体"/>
          <w:sz w:val="24"/>
          <w:highlight w:val="none"/>
        </w:rPr>
        <w:t>第二遍喷漆（颜色均匀，无挂漆，厚度达110微米）</w:t>
      </w:r>
    </w:p>
    <w:p w14:paraId="183C225D">
      <w:pPr>
        <w:spacing w:line="360" w:lineRule="auto"/>
        <w:ind w:firstLine="480" w:firstLineChars="200"/>
        <w:jc w:val="left"/>
        <w:rPr>
          <w:rFonts w:ascii="宋体" w:hAnsi="宋体" w:cs="宋体"/>
          <w:sz w:val="24"/>
        </w:rPr>
      </w:pPr>
      <w:r>
        <w:rPr>
          <w:rFonts w:hint="eastAsia" w:ascii="宋体" w:hAnsi="宋体" w:cs="宋体"/>
          <w:sz w:val="24"/>
          <w:highlight w:val="none"/>
        </w:rPr>
        <w:t>2、在喷涂作业前应对路灯杆进行剔除号牌、</w:t>
      </w:r>
      <w:r>
        <w:rPr>
          <w:rFonts w:hint="eastAsia" w:ascii="宋体" w:hAnsi="宋体" w:cs="宋体"/>
          <w:sz w:val="24"/>
        </w:rPr>
        <w:t>除锈、清洁等工作，喷涂完成后黏贴新号牌，灯杆底部出现严重锈蚀等涉及安全隐患的立即上报采购人。</w:t>
      </w:r>
    </w:p>
    <w:p w14:paraId="7E983CB5">
      <w:pPr>
        <w:spacing w:line="360" w:lineRule="auto"/>
        <w:ind w:firstLine="480" w:firstLineChars="200"/>
        <w:jc w:val="left"/>
        <w:rPr>
          <w:rFonts w:ascii="宋体" w:hAnsi="宋体" w:cs="宋体"/>
          <w:sz w:val="24"/>
        </w:rPr>
      </w:pPr>
      <w:r>
        <w:rPr>
          <w:rFonts w:hint="eastAsia" w:ascii="宋体" w:hAnsi="宋体" w:cs="宋体"/>
          <w:sz w:val="24"/>
        </w:rPr>
        <w:t>3、施工中如发现照明设施遭破坏（灯杆门板、歪斜、线缆裸露、悬挂设施等）应及时上报采购人。</w:t>
      </w:r>
    </w:p>
    <w:p w14:paraId="152592CF">
      <w:pPr>
        <w:spacing w:line="360" w:lineRule="auto"/>
        <w:ind w:firstLine="480" w:firstLineChars="200"/>
        <w:jc w:val="left"/>
        <w:rPr>
          <w:rFonts w:ascii="宋体" w:hAnsi="宋体" w:cs="宋体"/>
          <w:sz w:val="24"/>
        </w:rPr>
      </w:pPr>
      <w:r>
        <w:rPr>
          <w:rFonts w:hint="eastAsia" w:ascii="宋体" w:hAnsi="宋体" w:cs="宋体"/>
          <w:sz w:val="24"/>
        </w:rPr>
        <w:t>4、重新喷漆的灯杆，具体以有底色部分进行整体喷涂，喷涂后灯杆表面要求做到整洁、无污垢，无明显喷刷纹路，不变色褪色，不失光，不粉化开裂和脱落。使用的除锈、清洁用品不得对路灯杆造成侵蚀、刮擦等损伤性后果。</w:t>
      </w:r>
    </w:p>
    <w:p w14:paraId="3EFBBFC4">
      <w:pPr>
        <w:spacing w:line="360" w:lineRule="auto"/>
        <w:ind w:firstLine="480" w:firstLineChars="200"/>
        <w:jc w:val="left"/>
        <w:rPr>
          <w:rFonts w:ascii="宋体" w:hAnsi="宋体" w:cs="宋体"/>
          <w:sz w:val="24"/>
        </w:rPr>
      </w:pPr>
      <w:r>
        <w:rPr>
          <w:rFonts w:hint="eastAsia" w:ascii="宋体" w:hAnsi="宋体" w:cs="宋体"/>
          <w:sz w:val="24"/>
        </w:rPr>
        <w:t>5、施工过程中必须采取遮挡、围护等措施，注意环境保护，不得随意滴落油漆，不得对周边环境造成污染，并服从交通管理，避免早晚车辆高峰期作业，减少对交通的影响。</w:t>
      </w:r>
    </w:p>
    <w:p w14:paraId="5EF0DDF7">
      <w:pPr>
        <w:spacing w:line="360" w:lineRule="auto"/>
        <w:ind w:firstLine="480" w:firstLineChars="200"/>
        <w:jc w:val="left"/>
        <w:rPr>
          <w:rFonts w:ascii="宋体" w:hAnsi="宋体" w:cs="宋体"/>
          <w:sz w:val="24"/>
        </w:rPr>
      </w:pPr>
      <w:r>
        <w:rPr>
          <w:rFonts w:hint="eastAsia" w:ascii="宋体" w:hAnsi="宋体" w:cs="宋体"/>
          <w:sz w:val="24"/>
        </w:rPr>
        <w:t>6、</w:t>
      </w:r>
      <w:r>
        <w:rPr>
          <w:rFonts w:ascii="宋体" w:hAnsi="宋体" w:cs="宋体"/>
          <w:sz w:val="24"/>
        </w:rPr>
        <w:t>必须采取措施保障从业人员的工作安全</w:t>
      </w:r>
      <w:r>
        <w:rPr>
          <w:rFonts w:hint="eastAsia" w:ascii="宋体" w:hAnsi="宋体" w:cs="宋体"/>
          <w:sz w:val="24"/>
        </w:rPr>
        <w:t>，</w:t>
      </w:r>
      <w:r>
        <w:rPr>
          <w:rFonts w:ascii="宋体" w:hAnsi="宋体" w:cs="宋体"/>
          <w:sz w:val="24"/>
        </w:rPr>
        <w:t>由此造成的一切安全事故</w:t>
      </w:r>
      <w:r>
        <w:rPr>
          <w:rFonts w:hint="eastAsia" w:ascii="宋体" w:hAnsi="宋体" w:cs="宋体"/>
          <w:sz w:val="24"/>
        </w:rPr>
        <w:t>、交通事故、</w:t>
      </w:r>
      <w:r>
        <w:rPr>
          <w:rFonts w:ascii="宋体" w:hAnsi="宋体" w:cs="宋体"/>
          <w:sz w:val="24"/>
        </w:rPr>
        <w:t>经济</w:t>
      </w:r>
      <w:r>
        <w:rPr>
          <w:rFonts w:hint="eastAsia" w:ascii="宋体" w:hAnsi="宋体" w:cs="宋体"/>
          <w:sz w:val="24"/>
        </w:rPr>
        <w:t>、</w:t>
      </w:r>
      <w:r>
        <w:rPr>
          <w:rFonts w:ascii="宋体" w:hAnsi="宋体" w:cs="宋体"/>
          <w:sz w:val="24"/>
        </w:rPr>
        <w:t>法律的责任</w:t>
      </w:r>
      <w:r>
        <w:rPr>
          <w:rFonts w:hint="eastAsia" w:ascii="宋体" w:hAnsi="宋体" w:cs="宋体"/>
          <w:sz w:val="24"/>
        </w:rPr>
        <w:t>均</w:t>
      </w:r>
      <w:r>
        <w:rPr>
          <w:rFonts w:ascii="宋体" w:hAnsi="宋体" w:cs="宋体"/>
          <w:sz w:val="24"/>
        </w:rPr>
        <w:t>由</w:t>
      </w:r>
      <w:r>
        <w:rPr>
          <w:rFonts w:hint="eastAsia" w:ascii="宋体" w:hAnsi="宋体" w:cs="宋体"/>
          <w:sz w:val="24"/>
        </w:rPr>
        <w:t>供应商</w:t>
      </w:r>
      <w:r>
        <w:rPr>
          <w:rFonts w:ascii="宋体" w:hAnsi="宋体" w:cs="宋体"/>
          <w:sz w:val="24"/>
        </w:rPr>
        <w:t>全权承担</w:t>
      </w:r>
      <w:r>
        <w:rPr>
          <w:rFonts w:hint="eastAsia" w:ascii="宋体" w:hAnsi="宋体" w:cs="宋体"/>
          <w:sz w:val="24"/>
        </w:rPr>
        <w:t>。</w:t>
      </w:r>
    </w:p>
    <w:p w14:paraId="382D8CB7">
      <w:pPr>
        <w:spacing w:line="360" w:lineRule="auto"/>
        <w:ind w:firstLine="480" w:firstLineChars="200"/>
        <w:jc w:val="left"/>
        <w:rPr>
          <w:rFonts w:hint="eastAsia" w:ascii="宋体" w:hAnsi="宋体" w:cs="宋体"/>
          <w:sz w:val="24"/>
        </w:rPr>
      </w:pPr>
      <w:r>
        <w:rPr>
          <w:rFonts w:hint="eastAsia" w:ascii="宋体" w:hAnsi="宋体" w:cs="宋体"/>
          <w:sz w:val="24"/>
        </w:rPr>
        <w:t>（二）施工机械工具要求：</w:t>
      </w:r>
    </w:p>
    <w:p w14:paraId="3EB93C70">
      <w:pPr>
        <w:spacing w:line="360" w:lineRule="auto"/>
        <w:ind w:firstLine="480" w:firstLineChars="200"/>
        <w:jc w:val="left"/>
        <w:rPr>
          <w:rFonts w:ascii="宋体" w:hAnsi="宋体"/>
          <w:sz w:val="24"/>
        </w:rPr>
      </w:pPr>
      <w:r>
        <w:rPr>
          <w:rFonts w:hint="eastAsia" w:ascii="宋体" w:hAnsi="宋体"/>
          <w:sz w:val="24"/>
        </w:rPr>
        <w:t>发电机，喷压棒，升降车，喷枪，安全护栏，安全围挡，抛光机，颜料搅拌机等。</w:t>
      </w:r>
    </w:p>
    <w:p w14:paraId="2283FCBD">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★（三）环氧富锌漆的检测报告要求</w:t>
      </w:r>
    </w:p>
    <w:tbl>
      <w:tblPr>
        <w:tblStyle w:val="2"/>
        <w:tblW w:w="84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459"/>
        <w:gridCol w:w="3653"/>
        <w:gridCol w:w="625"/>
      </w:tblGrid>
      <w:tr w14:paraId="448E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trPr>
        <w:tc>
          <w:tcPr>
            <w:tcW w:w="711" w:type="dxa"/>
            <w:noWrap w:val="0"/>
            <w:vAlign w:val="top"/>
          </w:tcPr>
          <w:p w14:paraId="7035D510">
            <w:pPr>
              <w:spacing w:line="276" w:lineRule="auto"/>
              <w:jc w:val="left"/>
              <w:rPr>
                <w:rFonts w:hint="eastAsia" w:ascii="宋体" w:hAnsi="宋体"/>
                <w:sz w:val="24"/>
              </w:rPr>
            </w:pPr>
            <w:r>
              <w:rPr>
                <w:rFonts w:hint="eastAsia" w:ascii="宋体" w:hAnsi="宋体"/>
                <w:sz w:val="24"/>
              </w:rPr>
              <w:t>序号</w:t>
            </w:r>
          </w:p>
        </w:tc>
        <w:tc>
          <w:tcPr>
            <w:tcW w:w="3459" w:type="dxa"/>
            <w:noWrap w:val="0"/>
            <w:vAlign w:val="top"/>
          </w:tcPr>
          <w:p w14:paraId="032973EF">
            <w:pPr>
              <w:spacing w:line="276" w:lineRule="auto"/>
              <w:jc w:val="left"/>
              <w:rPr>
                <w:rFonts w:hint="eastAsia" w:ascii="宋体" w:hAnsi="宋体"/>
                <w:sz w:val="24"/>
              </w:rPr>
            </w:pPr>
            <w:r>
              <w:rPr>
                <w:rFonts w:hint="eastAsia" w:ascii="宋体" w:hAnsi="宋体"/>
                <w:sz w:val="24"/>
              </w:rPr>
              <w:t>检测项目</w:t>
            </w:r>
          </w:p>
        </w:tc>
        <w:tc>
          <w:tcPr>
            <w:tcW w:w="3653" w:type="dxa"/>
            <w:noWrap w:val="0"/>
            <w:vAlign w:val="top"/>
          </w:tcPr>
          <w:p w14:paraId="734A36C4">
            <w:pPr>
              <w:spacing w:line="276" w:lineRule="auto"/>
              <w:jc w:val="left"/>
              <w:rPr>
                <w:rFonts w:hint="eastAsia" w:ascii="宋体" w:hAnsi="宋体"/>
                <w:sz w:val="24"/>
              </w:rPr>
            </w:pPr>
            <w:r>
              <w:rPr>
                <w:rFonts w:hint="eastAsia" w:ascii="宋体" w:hAnsi="宋体"/>
                <w:sz w:val="24"/>
              </w:rPr>
              <w:t>技术要求</w:t>
            </w:r>
          </w:p>
        </w:tc>
        <w:tc>
          <w:tcPr>
            <w:tcW w:w="625" w:type="dxa"/>
            <w:noWrap w:val="0"/>
            <w:vAlign w:val="top"/>
          </w:tcPr>
          <w:p w14:paraId="08E4E5AC">
            <w:pPr>
              <w:spacing w:line="276" w:lineRule="auto"/>
              <w:jc w:val="left"/>
              <w:rPr>
                <w:rFonts w:hint="eastAsia" w:ascii="宋体" w:hAnsi="宋体"/>
                <w:sz w:val="24"/>
              </w:rPr>
            </w:pPr>
            <w:r>
              <w:rPr>
                <w:rFonts w:hint="eastAsia" w:ascii="宋体" w:hAnsi="宋体"/>
                <w:sz w:val="24"/>
              </w:rPr>
              <w:t>备注</w:t>
            </w:r>
          </w:p>
        </w:tc>
      </w:tr>
      <w:tr w14:paraId="2698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11" w:type="dxa"/>
            <w:noWrap w:val="0"/>
            <w:vAlign w:val="top"/>
          </w:tcPr>
          <w:p w14:paraId="0A8004DD">
            <w:pPr>
              <w:spacing w:line="276" w:lineRule="auto"/>
              <w:jc w:val="left"/>
              <w:rPr>
                <w:rFonts w:hint="eastAsia" w:ascii="宋体" w:hAnsi="宋体"/>
                <w:sz w:val="24"/>
              </w:rPr>
            </w:pPr>
            <w:r>
              <w:rPr>
                <w:rFonts w:hint="eastAsia" w:ascii="宋体" w:hAnsi="宋体"/>
                <w:sz w:val="24"/>
              </w:rPr>
              <w:t>1</w:t>
            </w:r>
          </w:p>
        </w:tc>
        <w:tc>
          <w:tcPr>
            <w:tcW w:w="3459" w:type="dxa"/>
            <w:noWrap w:val="0"/>
            <w:vAlign w:val="top"/>
          </w:tcPr>
          <w:p w14:paraId="46742AFB">
            <w:pPr>
              <w:spacing w:line="276" w:lineRule="auto"/>
              <w:jc w:val="left"/>
              <w:rPr>
                <w:rFonts w:hint="eastAsia" w:ascii="宋体" w:hAnsi="宋体"/>
                <w:sz w:val="24"/>
              </w:rPr>
            </w:pPr>
            <w:r>
              <w:rPr>
                <w:rFonts w:hint="eastAsia" w:ascii="宋体" w:hAnsi="宋体"/>
                <w:sz w:val="24"/>
              </w:rPr>
              <w:t>在容器中状态（甲组份）</w:t>
            </w:r>
          </w:p>
        </w:tc>
        <w:tc>
          <w:tcPr>
            <w:tcW w:w="3653" w:type="dxa"/>
            <w:noWrap w:val="0"/>
            <w:vAlign w:val="top"/>
          </w:tcPr>
          <w:p w14:paraId="658AD4E4">
            <w:pPr>
              <w:spacing w:line="276" w:lineRule="auto"/>
              <w:jc w:val="left"/>
              <w:rPr>
                <w:rFonts w:hint="eastAsia" w:ascii="宋体" w:hAnsi="宋体"/>
                <w:sz w:val="24"/>
              </w:rPr>
            </w:pPr>
            <w:r>
              <w:rPr>
                <w:rFonts w:hint="eastAsia" w:ascii="宋体" w:hAnsi="宋体"/>
                <w:sz w:val="24"/>
              </w:rPr>
              <w:t>搅拌混合后应无硬块，呈均匀状态</w:t>
            </w:r>
          </w:p>
        </w:tc>
        <w:tc>
          <w:tcPr>
            <w:tcW w:w="625" w:type="dxa"/>
            <w:noWrap w:val="0"/>
            <w:vAlign w:val="top"/>
          </w:tcPr>
          <w:p w14:paraId="766EF450">
            <w:pPr>
              <w:spacing w:line="276" w:lineRule="auto"/>
              <w:jc w:val="left"/>
              <w:rPr>
                <w:rFonts w:hint="eastAsia" w:ascii="宋体" w:hAnsi="宋体"/>
                <w:sz w:val="24"/>
              </w:rPr>
            </w:pPr>
          </w:p>
        </w:tc>
      </w:tr>
      <w:tr w14:paraId="0FD4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11" w:type="dxa"/>
            <w:noWrap w:val="0"/>
            <w:vAlign w:val="top"/>
          </w:tcPr>
          <w:p w14:paraId="506AAC1B">
            <w:pPr>
              <w:spacing w:line="276" w:lineRule="auto"/>
              <w:jc w:val="left"/>
              <w:rPr>
                <w:rFonts w:hint="eastAsia" w:ascii="宋体" w:hAnsi="宋体"/>
                <w:sz w:val="24"/>
              </w:rPr>
            </w:pPr>
            <w:r>
              <w:rPr>
                <w:rFonts w:hint="eastAsia" w:ascii="宋体" w:hAnsi="宋体"/>
                <w:sz w:val="24"/>
              </w:rPr>
              <w:t>2</w:t>
            </w:r>
          </w:p>
        </w:tc>
        <w:tc>
          <w:tcPr>
            <w:tcW w:w="3459" w:type="dxa"/>
            <w:noWrap w:val="0"/>
            <w:vAlign w:val="top"/>
          </w:tcPr>
          <w:p w14:paraId="25039E87">
            <w:pPr>
              <w:spacing w:line="276" w:lineRule="auto"/>
              <w:jc w:val="left"/>
              <w:rPr>
                <w:rFonts w:hint="eastAsia" w:ascii="宋体" w:hAnsi="宋体"/>
                <w:sz w:val="24"/>
              </w:rPr>
            </w:pPr>
            <w:r>
              <w:rPr>
                <w:rFonts w:hint="eastAsia" w:ascii="宋体" w:hAnsi="宋体"/>
                <w:sz w:val="24"/>
              </w:rPr>
              <w:t>在容器中状态（乙组份）</w:t>
            </w:r>
          </w:p>
        </w:tc>
        <w:tc>
          <w:tcPr>
            <w:tcW w:w="3653" w:type="dxa"/>
            <w:noWrap w:val="0"/>
            <w:vAlign w:val="top"/>
          </w:tcPr>
          <w:p w14:paraId="75B14BB4">
            <w:pPr>
              <w:spacing w:line="276" w:lineRule="auto"/>
              <w:jc w:val="left"/>
              <w:rPr>
                <w:rFonts w:hint="eastAsia" w:ascii="宋体" w:hAnsi="宋体"/>
                <w:sz w:val="24"/>
              </w:rPr>
            </w:pPr>
            <w:r>
              <w:rPr>
                <w:rFonts w:hint="eastAsia" w:ascii="宋体" w:hAnsi="宋体"/>
                <w:sz w:val="24"/>
              </w:rPr>
              <w:t>搅拌混合后应无硬块，呈均匀状态</w:t>
            </w:r>
          </w:p>
        </w:tc>
        <w:tc>
          <w:tcPr>
            <w:tcW w:w="625" w:type="dxa"/>
            <w:noWrap w:val="0"/>
            <w:vAlign w:val="top"/>
          </w:tcPr>
          <w:p w14:paraId="753B7AD1">
            <w:pPr>
              <w:spacing w:line="276" w:lineRule="auto"/>
              <w:jc w:val="left"/>
              <w:rPr>
                <w:rFonts w:hint="eastAsia" w:ascii="宋体" w:hAnsi="宋体"/>
                <w:sz w:val="24"/>
              </w:rPr>
            </w:pPr>
          </w:p>
        </w:tc>
      </w:tr>
      <w:tr w14:paraId="24FE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06F95B4A">
            <w:pPr>
              <w:spacing w:line="276" w:lineRule="auto"/>
              <w:jc w:val="left"/>
              <w:rPr>
                <w:rFonts w:hint="eastAsia" w:ascii="宋体" w:hAnsi="宋体"/>
                <w:sz w:val="24"/>
              </w:rPr>
            </w:pPr>
            <w:r>
              <w:rPr>
                <w:rFonts w:hint="eastAsia" w:ascii="宋体" w:hAnsi="宋体"/>
                <w:sz w:val="24"/>
              </w:rPr>
              <w:t>3</w:t>
            </w:r>
          </w:p>
        </w:tc>
        <w:tc>
          <w:tcPr>
            <w:tcW w:w="3459" w:type="dxa"/>
            <w:noWrap w:val="0"/>
            <w:vAlign w:val="top"/>
          </w:tcPr>
          <w:p w14:paraId="1C7B2DEF">
            <w:pPr>
              <w:spacing w:line="276" w:lineRule="auto"/>
              <w:jc w:val="left"/>
              <w:rPr>
                <w:rFonts w:hint="eastAsia" w:ascii="宋体" w:hAnsi="宋体"/>
                <w:sz w:val="24"/>
              </w:rPr>
            </w:pPr>
            <w:r>
              <w:rPr>
                <w:rFonts w:hint="eastAsia" w:ascii="宋体" w:hAnsi="宋体"/>
                <w:sz w:val="24"/>
              </w:rPr>
              <w:t>干燥时间，h（表干）</w:t>
            </w:r>
          </w:p>
        </w:tc>
        <w:tc>
          <w:tcPr>
            <w:tcW w:w="3653" w:type="dxa"/>
            <w:noWrap w:val="0"/>
            <w:vAlign w:val="top"/>
          </w:tcPr>
          <w:p w14:paraId="1F72D4BD">
            <w:pPr>
              <w:spacing w:line="276" w:lineRule="auto"/>
              <w:jc w:val="left"/>
              <w:rPr>
                <w:rFonts w:hint="eastAsia" w:ascii="宋体" w:hAnsi="宋体"/>
                <w:sz w:val="24"/>
              </w:rPr>
            </w:pPr>
            <w:r>
              <w:rPr>
                <w:rFonts w:hint="eastAsia" w:ascii="宋体" w:hAnsi="宋体"/>
                <w:sz w:val="24"/>
              </w:rPr>
              <w:t>≤1</w:t>
            </w:r>
          </w:p>
        </w:tc>
        <w:tc>
          <w:tcPr>
            <w:tcW w:w="625" w:type="dxa"/>
            <w:noWrap w:val="0"/>
            <w:vAlign w:val="top"/>
          </w:tcPr>
          <w:p w14:paraId="21EFE337">
            <w:pPr>
              <w:spacing w:line="276" w:lineRule="auto"/>
              <w:jc w:val="left"/>
              <w:rPr>
                <w:rFonts w:hint="eastAsia" w:ascii="宋体" w:hAnsi="宋体"/>
                <w:sz w:val="24"/>
              </w:rPr>
            </w:pPr>
          </w:p>
        </w:tc>
      </w:tr>
      <w:tr w14:paraId="3565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1" w:type="dxa"/>
            <w:noWrap w:val="0"/>
            <w:vAlign w:val="top"/>
          </w:tcPr>
          <w:p w14:paraId="6EC9176B">
            <w:pPr>
              <w:spacing w:line="276" w:lineRule="auto"/>
              <w:jc w:val="left"/>
              <w:rPr>
                <w:rFonts w:hint="eastAsia" w:ascii="宋体" w:hAnsi="宋体"/>
                <w:sz w:val="24"/>
              </w:rPr>
            </w:pPr>
            <w:r>
              <w:rPr>
                <w:rFonts w:hint="eastAsia" w:ascii="宋体" w:hAnsi="宋体"/>
                <w:sz w:val="24"/>
              </w:rPr>
              <w:t>4</w:t>
            </w:r>
          </w:p>
        </w:tc>
        <w:tc>
          <w:tcPr>
            <w:tcW w:w="3459" w:type="dxa"/>
            <w:noWrap w:val="0"/>
            <w:vAlign w:val="top"/>
          </w:tcPr>
          <w:p w14:paraId="422265BA">
            <w:pPr>
              <w:spacing w:line="276" w:lineRule="auto"/>
              <w:jc w:val="left"/>
              <w:rPr>
                <w:rFonts w:hint="eastAsia" w:ascii="宋体" w:hAnsi="宋体"/>
                <w:sz w:val="24"/>
              </w:rPr>
            </w:pPr>
            <w:r>
              <w:rPr>
                <w:rFonts w:hint="eastAsia" w:ascii="宋体" w:hAnsi="宋体"/>
                <w:sz w:val="24"/>
              </w:rPr>
              <w:t>干燥时间，h（实干）</w:t>
            </w:r>
          </w:p>
        </w:tc>
        <w:tc>
          <w:tcPr>
            <w:tcW w:w="3653" w:type="dxa"/>
            <w:noWrap w:val="0"/>
            <w:vAlign w:val="top"/>
          </w:tcPr>
          <w:p w14:paraId="7D8FB366">
            <w:pPr>
              <w:spacing w:line="276" w:lineRule="auto"/>
              <w:jc w:val="left"/>
              <w:rPr>
                <w:rFonts w:hint="eastAsia" w:ascii="宋体" w:hAnsi="宋体"/>
                <w:sz w:val="24"/>
              </w:rPr>
            </w:pPr>
            <w:r>
              <w:rPr>
                <w:rFonts w:hint="eastAsia" w:ascii="宋体" w:hAnsi="宋体"/>
                <w:sz w:val="24"/>
              </w:rPr>
              <w:t>≤</w:t>
            </w:r>
            <w:r>
              <w:rPr>
                <w:rFonts w:ascii="宋体" w:hAnsi="宋体"/>
                <w:sz w:val="24"/>
              </w:rPr>
              <w:t>24</w:t>
            </w:r>
          </w:p>
        </w:tc>
        <w:tc>
          <w:tcPr>
            <w:tcW w:w="625" w:type="dxa"/>
            <w:noWrap w:val="0"/>
            <w:vAlign w:val="top"/>
          </w:tcPr>
          <w:p w14:paraId="21D5025F">
            <w:pPr>
              <w:spacing w:line="276" w:lineRule="auto"/>
              <w:jc w:val="left"/>
              <w:rPr>
                <w:rFonts w:hint="eastAsia" w:ascii="宋体" w:hAnsi="宋体"/>
                <w:sz w:val="24"/>
              </w:rPr>
            </w:pPr>
          </w:p>
        </w:tc>
      </w:tr>
      <w:tr w14:paraId="46B7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19987142">
            <w:pPr>
              <w:spacing w:line="276" w:lineRule="auto"/>
              <w:jc w:val="left"/>
              <w:rPr>
                <w:rFonts w:hint="eastAsia" w:ascii="宋体" w:hAnsi="宋体"/>
                <w:sz w:val="24"/>
              </w:rPr>
            </w:pPr>
            <w:r>
              <w:rPr>
                <w:rFonts w:hint="eastAsia" w:ascii="宋体" w:hAnsi="宋体"/>
                <w:sz w:val="24"/>
              </w:rPr>
              <w:t>5</w:t>
            </w:r>
          </w:p>
        </w:tc>
        <w:tc>
          <w:tcPr>
            <w:tcW w:w="3459" w:type="dxa"/>
            <w:noWrap w:val="0"/>
            <w:vAlign w:val="top"/>
          </w:tcPr>
          <w:p w14:paraId="5F48C2B7">
            <w:pPr>
              <w:spacing w:line="276" w:lineRule="auto"/>
              <w:jc w:val="left"/>
              <w:rPr>
                <w:rFonts w:hint="eastAsia" w:ascii="宋体" w:hAnsi="宋体"/>
                <w:sz w:val="24"/>
              </w:rPr>
            </w:pPr>
            <w:r>
              <w:rPr>
                <w:rFonts w:hint="eastAsia" w:ascii="宋体" w:hAnsi="宋体"/>
                <w:sz w:val="24"/>
              </w:rPr>
              <w:t>不挥发分，%</w:t>
            </w:r>
          </w:p>
        </w:tc>
        <w:tc>
          <w:tcPr>
            <w:tcW w:w="3653" w:type="dxa"/>
            <w:noWrap w:val="0"/>
            <w:vAlign w:val="top"/>
          </w:tcPr>
          <w:p w14:paraId="2F91CF6C">
            <w:pPr>
              <w:spacing w:line="276" w:lineRule="auto"/>
              <w:jc w:val="left"/>
              <w:rPr>
                <w:rFonts w:hint="eastAsia" w:ascii="宋体" w:hAnsi="宋体"/>
                <w:sz w:val="24"/>
              </w:rPr>
            </w:pPr>
            <w:r>
              <w:rPr>
                <w:rFonts w:hint="eastAsia" w:ascii="宋体" w:hAnsi="宋体"/>
                <w:sz w:val="24"/>
              </w:rPr>
              <w:t>≥7</w:t>
            </w:r>
            <w:r>
              <w:rPr>
                <w:rFonts w:ascii="宋体" w:hAnsi="宋体"/>
                <w:sz w:val="24"/>
              </w:rPr>
              <w:t>0</w:t>
            </w:r>
          </w:p>
        </w:tc>
        <w:tc>
          <w:tcPr>
            <w:tcW w:w="625" w:type="dxa"/>
            <w:noWrap w:val="0"/>
            <w:vAlign w:val="top"/>
          </w:tcPr>
          <w:p w14:paraId="0602082D">
            <w:pPr>
              <w:spacing w:line="276" w:lineRule="auto"/>
              <w:jc w:val="left"/>
              <w:rPr>
                <w:rFonts w:hint="eastAsia" w:ascii="宋体" w:hAnsi="宋体"/>
                <w:sz w:val="24"/>
              </w:rPr>
            </w:pPr>
          </w:p>
        </w:tc>
      </w:tr>
      <w:tr w14:paraId="01AA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6E4D0C0B">
            <w:pPr>
              <w:spacing w:line="276" w:lineRule="auto"/>
              <w:jc w:val="left"/>
              <w:rPr>
                <w:rFonts w:hint="eastAsia" w:ascii="宋体" w:hAnsi="宋体"/>
                <w:sz w:val="24"/>
              </w:rPr>
            </w:pPr>
            <w:r>
              <w:rPr>
                <w:rFonts w:hint="eastAsia" w:ascii="宋体" w:hAnsi="宋体"/>
                <w:sz w:val="24"/>
              </w:rPr>
              <w:t>6</w:t>
            </w:r>
          </w:p>
        </w:tc>
        <w:tc>
          <w:tcPr>
            <w:tcW w:w="3459" w:type="dxa"/>
            <w:noWrap w:val="0"/>
            <w:vAlign w:val="top"/>
          </w:tcPr>
          <w:p w14:paraId="4606D5D8">
            <w:pPr>
              <w:spacing w:line="276" w:lineRule="auto"/>
              <w:jc w:val="left"/>
              <w:rPr>
                <w:rFonts w:hint="eastAsia" w:ascii="宋体" w:hAnsi="宋体"/>
                <w:sz w:val="24"/>
              </w:rPr>
            </w:pPr>
            <w:r>
              <w:rPr>
                <w:rFonts w:hint="eastAsia" w:ascii="宋体" w:hAnsi="宋体"/>
                <w:sz w:val="24"/>
              </w:rPr>
              <w:t>不挥发分中金属锌含量，%</w:t>
            </w:r>
          </w:p>
        </w:tc>
        <w:tc>
          <w:tcPr>
            <w:tcW w:w="3653" w:type="dxa"/>
            <w:noWrap w:val="0"/>
            <w:vAlign w:val="top"/>
          </w:tcPr>
          <w:p w14:paraId="32131F35">
            <w:pPr>
              <w:spacing w:line="276" w:lineRule="auto"/>
              <w:jc w:val="left"/>
              <w:rPr>
                <w:rFonts w:hint="eastAsia" w:ascii="宋体" w:hAnsi="宋体"/>
                <w:sz w:val="24"/>
              </w:rPr>
            </w:pPr>
            <w:r>
              <w:rPr>
                <w:rFonts w:hint="eastAsia" w:ascii="宋体" w:hAnsi="宋体"/>
                <w:sz w:val="24"/>
              </w:rPr>
              <w:t>≥</w:t>
            </w:r>
            <w:r>
              <w:rPr>
                <w:rFonts w:ascii="宋体" w:hAnsi="宋体"/>
                <w:sz w:val="24"/>
              </w:rPr>
              <w:t>80</w:t>
            </w:r>
          </w:p>
        </w:tc>
        <w:tc>
          <w:tcPr>
            <w:tcW w:w="625" w:type="dxa"/>
            <w:noWrap w:val="0"/>
            <w:vAlign w:val="top"/>
          </w:tcPr>
          <w:p w14:paraId="3B73D498">
            <w:pPr>
              <w:spacing w:line="276" w:lineRule="auto"/>
              <w:jc w:val="left"/>
              <w:rPr>
                <w:rFonts w:hint="eastAsia" w:ascii="宋体" w:hAnsi="宋体"/>
                <w:sz w:val="24"/>
              </w:rPr>
            </w:pPr>
          </w:p>
        </w:tc>
      </w:tr>
      <w:tr w14:paraId="08C2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1DD84011">
            <w:pPr>
              <w:spacing w:line="276" w:lineRule="auto"/>
              <w:jc w:val="left"/>
              <w:rPr>
                <w:rFonts w:hint="eastAsia" w:ascii="宋体" w:hAnsi="宋体"/>
                <w:sz w:val="24"/>
              </w:rPr>
            </w:pPr>
            <w:r>
              <w:rPr>
                <w:rFonts w:hint="eastAsia" w:ascii="宋体" w:hAnsi="宋体"/>
                <w:sz w:val="24"/>
              </w:rPr>
              <w:t>7</w:t>
            </w:r>
          </w:p>
        </w:tc>
        <w:tc>
          <w:tcPr>
            <w:tcW w:w="3459" w:type="dxa"/>
            <w:noWrap w:val="0"/>
            <w:vAlign w:val="top"/>
          </w:tcPr>
          <w:p w14:paraId="00DA7177">
            <w:pPr>
              <w:spacing w:line="276" w:lineRule="auto"/>
              <w:jc w:val="left"/>
              <w:rPr>
                <w:rFonts w:hint="eastAsia" w:ascii="宋体" w:hAnsi="宋体"/>
                <w:sz w:val="24"/>
              </w:rPr>
            </w:pPr>
            <w:r>
              <w:rPr>
                <w:rFonts w:hint="eastAsia" w:ascii="宋体" w:hAnsi="宋体"/>
                <w:sz w:val="24"/>
              </w:rPr>
              <w:t>适用期，h</w:t>
            </w:r>
          </w:p>
        </w:tc>
        <w:tc>
          <w:tcPr>
            <w:tcW w:w="3653" w:type="dxa"/>
            <w:noWrap w:val="0"/>
            <w:vAlign w:val="top"/>
          </w:tcPr>
          <w:p w14:paraId="38CD8FD7">
            <w:pPr>
              <w:spacing w:line="276" w:lineRule="auto"/>
              <w:jc w:val="left"/>
              <w:rPr>
                <w:rFonts w:hint="eastAsia" w:ascii="宋体" w:hAnsi="宋体"/>
                <w:sz w:val="24"/>
              </w:rPr>
            </w:pPr>
            <w:r>
              <w:rPr>
                <w:rFonts w:hint="eastAsia" w:ascii="宋体" w:hAnsi="宋体"/>
                <w:sz w:val="24"/>
              </w:rPr>
              <w:t>≥</w:t>
            </w:r>
            <w:r>
              <w:rPr>
                <w:rFonts w:ascii="宋体" w:hAnsi="宋体"/>
                <w:sz w:val="24"/>
              </w:rPr>
              <w:t>5</w:t>
            </w:r>
          </w:p>
        </w:tc>
        <w:tc>
          <w:tcPr>
            <w:tcW w:w="625" w:type="dxa"/>
            <w:noWrap w:val="0"/>
            <w:vAlign w:val="top"/>
          </w:tcPr>
          <w:p w14:paraId="5A4879BD">
            <w:pPr>
              <w:spacing w:line="276" w:lineRule="auto"/>
              <w:jc w:val="left"/>
              <w:rPr>
                <w:rFonts w:hint="eastAsia" w:ascii="宋体" w:hAnsi="宋体"/>
                <w:sz w:val="24"/>
              </w:rPr>
            </w:pPr>
          </w:p>
        </w:tc>
      </w:tr>
      <w:tr w14:paraId="5808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7D9248D3">
            <w:pPr>
              <w:spacing w:line="276" w:lineRule="auto"/>
              <w:jc w:val="left"/>
              <w:rPr>
                <w:rFonts w:hint="eastAsia" w:ascii="宋体" w:hAnsi="宋体"/>
                <w:sz w:val="24"/>
              </w:rPr>
            </w:pPr>
            <w:r>
              <w:rPr>
                <w:rFonts w:hint="eastAsia" w:ascii="宋体" w:hAnsi="宋体"/>
                <w:sz w:val="24"/>
              </w:rPr>
              <w:t>8</w:t>
            </w:r>
          </w:p>
        </w:tc>
        <w:tc>
          <w:tcPr>
            <w:tcW w:w="3459" w:type="dxa"/>
            <w:noWrap w:val="0"/>
            <w:vAlign w:val="top"/>
          </w:tcPr>
          <w:p w14:paraId="3653B67E">
            <w:pPr>
              <w:spacing w:line="276" w:lineRule="auto"/>
              <w:jc w:val="left"/>
              <w:rPr>
                <w:rFonts w:hint="eastAsia" w:ascii="宋体" w:hAnsi="宋体"/>
                <w:sz w:val="24"/>
              </w:rPr>
            </w:pPr>
            <w:r>
              <w:rPr>
                <w:rFonts w:hint="eastAsia" w:ascii="宋体" w:hAnsi="宋体"/>
                <w:sz w:val="24"/>
              </w:rPr>
              <w:t>施工性</w:t>
            </w:r>
          </w:p>
        </w:tc>
        <w:tc>
          <w:tcPr>
            <w:tcW w:w="3653" w:type="dxa"/>
            <w:noWrap w:val="0"/>
            <w:vAlign w:val="top"/>
          </w:tcPr>
          <w:p w14:paraId="414717DB">
            <w:pPr>
              <w:spacing w:line="276" w:lineRule="auto"/>
              <w:jc w:val="left"/>
              <w:rPr>
                <w:rFonts w:hint="eastAsia" w:ascii="宋体" w:hAnsi="宋体"/>
                <w:sz w:val="24"/>
              </w:rPr>
            </w:pPr>
            <w:r>
              <w:rPr>
                <w:rFonts w:hint="eastAsia" w:ascii="宋体" w:hAnsi="宋体"/>
                <w:sz w:val="24"/>
              </w:rPr>
              <w:t>施工无障碍</w:t>
            </w:r>
          </w:p>
        </w:tc>
        <w:tc>
          <w:tcPr>
            <w:tcW w:w="625" w:type="dxa"/>
            <w:noWrap w:val="0"/>
            <w:vAlign w:val="top"/>
          </w:tcPr>
          <w:p w14:paraId="60CFDA5C">
            <w:pPr>
              <w:spacing w:line="276" w:lineRule="auto"/>
              <w:jc w:val="left"/>
              <w:rPr>
                <w:rFonts w:hint="eastAsia" w:ascii="宋体" w:hAnsi="宋体"/>
                <w:sz w:val="24"/>
              </w:rPr>
            </w:pPr>
          </w:p>
        </w:tc>
      </w:tr>
      <w:tr w14:paraId="5939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11" w:type="dxa"/>
            <w:noWrap w:val="0"/>
            <w:vAlign w:val="top"/>
          </w:tcPr>
          <w:p w14:paraId="17EA4048">
            <w:pPr>
              <w:spacing w:line="276" w:lineRule="auto"/>
              <w:jc w:val="left"/>
              <w:rPr>
                <w:rFonts w:hint="eastAsia" w:ascii="宋体" w:hAnsi="宋体"/>
                <w:sz w:val="24"/>
              </w:rPr>
            </w:pPr>
            <w:r>
              <w:rPr>
                <w:rFonts w:hint="eastAsia" w:ascii="宋体" w:hAnsi="宋体"/>
                <w:sz w:val="24"/>
              </w:rPr>
              <w:t>9</w:t>
            </w:r>
          </w:p>
        </w:tc>
        <w:tc>
          <w:tcPr>
            <w:tcW w:w="3459" w:type="dxa"/>
            <w:noWrap w:val="0"/>
            <w:vAlign w:val="top"/>
          </w:tcPr>
          <w:p w14:paraId="0C08FC77">
            <w:pPr>
              <w:spacing w:line="276" w:lineRule="auto"/>
              <w:jc w:val="left"/>
              <w:rPr>
                <w:rFonts w:hint="eastAsia" w:ascii="宋体" w:hAnsi="宋体"/>
                <w:sz w:val="24"/>
              </w:rPr>
            </w:pPr>
            <w:r>
              <w:rPr>
                <w:rFonts w:hint="eastAsia" w:ascii="宋体" w:hAnsi="宋体"/>
                <w:sz w:val="24"/>
              </w:rPr>
              <w:t>涂膜外观</w:t>
            </w:r>
          </w:p>
        </w:tc>
        <w:tc>
          <w:tcPr>
            <w:tcW w:w="3653" w:type="dxa"/>
            <w:noWrap w:val="0"/>
            <w:vAlign w:val="top"/>
          </w:tcPr>
          <w:p w14:paraId="16543F7C">
            <w:pPr>
              <w:spacing w:line="276" w:lineRule="auto"/>
              <w:jc w:val="left"/>
              <w:rPr>
                <w:rFonts w:hint="eastAsia" w:ascii="宋体" w:hAnsi="宋体"/>
                <w:sz w:val="24"/>
              </w:rPr>
            </w:pPr>
            <w:r>
              <w:rPr>
                <w:rFonts w:hint="eastAsia" w:ascii="宋体" w:hAnsi="宋体"/>
                <w:sz w:val="24"/>
              </w:rPr>
              <w:t>涂膜外观正常</w:t>
            </w:r>
          </w:p>
        </w:tc>
        <w:tc>
          <w:tcPr>
            <w:tcW w:w="625" w:type="dxa"/>
            <w:noWrap w:val="0"/>
            <w:vAlign w:val="top"/>
          </w:tcPr>
          <w:p w14:paraId="3482F084">
            <w:pPr>
              <w:spacing w:line="276" w:lineRule="auto"/>
              <w:jc w:val="left"/>
              <w:rPr>
                <w:rFonts w:hint="eastAsia" w:ascii="宋体" w:hAnsi="宋体"/>
                <w:sz w:val="24"/>
              </w:rPr>
            </w:pPr>
          </w:p>
        </w:tc>
      </w:tr>
      <w:tr w14:paraId="5C16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240D2148">
            <w:pPr>
              <w:spacing w:line="276" w:lineRule="auto"/>
              <w:jc w:val="left"/>
              <w:rPr>
                <w:rFonts w:hint="eastAsia" w:ascii="宋体" w:hAnsi="宋体"/>
                <w:sz w:val="24"/>
              </w:rPr>
            </w:pPr>
            <w:r>
              <w:rPr>
                <w:rFonts w:hint="eastAsia" w:ascii="宋体" w:hAnsi="宋体"/>
                <w:sz w:val="24"/>
              </w:rPr>
              <w:t>1</w:t>
            </w:r>
            <w:r>
              <w:rPr>
                <w:rFonts w:ascii="宋体" w:hAnsi="宋体"/>
                <w:sz w:val="24"/>
              </w:rPr>
              <w:t>0</w:t>
            </w:r>
          </w:p>
        </w:tc>
        <w:tc>
          <w:tcPr>
            <w:tcW w:w="3459" w:type="dxa"/>
            <w:noWrap w:val="0"/>
            <w:vAlign w:val="top"/>
          </w:tcPr>
          <w:p w14:paraId="3C314BD3">
            <w:pPr>
              <w:spacing w:line="276" w:lineRule="auto"/>
              <w:jc w:val="left"/>
              <w:rPr>
                <w:rFonts w:hint="eastAsia" w:ascii="宋体" w:hAnsi="宋体"/>
                <w:sz w:val="24"/>
              </w:rPr>
            </w:pPr>
            <w:r>
              <w:rPr>
                <w:rFonts w:hint="eastAsia" w:ascii="宋体" w:hAnsi="宋体"/>
                <w:sz w:val="24"/>
              </w:rPr>
              <w:t>耐冲击性，c</w:t>
            </w:r>
            <w:r>
              <w:rPr>
                <w:rFonts w:ascii="宋体" w:hAnsi="宋体"/>
                <w:sz w:val="24"/>
              </w:rPr>
              <w:t>m</w:t>
            </w:r>
          </w:p>
        </w:tc>
        <w:tc>
          <w:tcPr>
            <w:tcW w:w="3653" w:type="dxa"/>
            <w:noWrap w:val="0"/>
            <w:vAlign w:val="top"/>
          </w:tcPr>
          <w:p w14:paraId="1831B316">
            <w:pPr>
              <w:spacing w:line="276" w:lineRule="auto"/>
              <w:jc w:val="left"/>
              <w:rPr>
                <w:rFonts w:hint="eastAsia" w:ascii="宋体" w:hAnsi="宋体"/>
                <w:sz w:val="24"/>
              </w:rPr>
            </w:pPr>
            <w:r>
              <w:rPr>
                <w:rFonts w:ascii="宋体" w:hAnsi="宋体"/>
                <w:sz w:val="24"/>
              </w:rPr>
              <w:t>50</w:t>
            </w:r>
          </w:p>
        </w:tc>
        <w:tc>
          <w:tcPr>
            <w:tcW w:w="625" w:type="dxa"/>
            <w:noWrap w:val="0"/>
            <w:vAlign w:val="top"/>
          </w:tcPr>
          <w:p w14:paraId="7B911742">
            <w:pPr>
              <w:spacing w:line="276" w:lineRule="auto"/>
              <w:jc w:val="left"/>
              <w:rPr>
                <w:rFonts w:hint="eastAsia" w:ascii="宋体" w:hAnsi="宋体"/>
                <w:sz w:val="24"/>
              </w:rPr>
            </w:pPr>
          </w:p>
        </w:tc>
      </w:tr>
      <w:tr w14:paraId="1B76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noWrap w:val="0"/>
            <w:vAlign w:val="top"/>
          </w:tcPr>
          <w:p w14:paraId="204C28A5">
            <w:pPr>
              <w:spacing w:line="276" w:lineRule="auto"/>
              <w:jc w:val="left"/>
              <w:rPr>
                <w:rFonts w:hint="eastAsia" w:ascii="宋体" w:hAnsi="宋体"/>
                <w:sz w:val="24"/>
              </w:rPr>
            </w:pPr>
            <w:r>
              <w:rPr>
                <w:rFonts w:hint="eastAsia" w:ascii="宋体" w:hAnsi="宋体"/>
                <w:sz w:val="24"/>
              </w:rPr>
              <w:t>1</w:t>
            </w:r>
            <w:r>
              <w:rPr>
                <w:rFonts w:ascii="宋体" w:hAnsi="宋体"/>
                <w:sz w:val="24"/>
              </w:rPr>
              <w:t>1</w:t>
            </w:r>
          </w:p>
        </w:tc>
        <w:tc>
          <w:tcPr>
            <w:tcW w:w="3459" w:type="dxa"/>
            <w:noWrap w:val="0"/>
            <w:vAlign w:val="top"/>
          </w:tcPr>
          <w:p w14:paraId="58F15628">
            <w:pPr>
              <w:spacing w:line="276" w:lineRule="auto"/>
              <w:jc w:val="left"/>
              <w:rPr>
                <w:rFonts w:hint="eastAsia" w:ascii="宋体" w:hAnsi="宋体"/>
                <w:sz w:val="24"/>
              </w:rPr>
            </w:pPr>
            <w:r>
              <w:rPr>
                <w:rFonts w:hint="eastAsia" w:ascii="宋体" w:hAnsi="宋体"/>
                <w:sz w:val="24"/>
              </w:rPr>
              <w:t>附着力，M</w:t>
            </w:r>
            <w:r>
              <w:rPr>
                <w:rFonts w:ascii="宋体" w:hAnsi="宋体"/>
                <w:sz w:val="24"/>
              </w:rPr>
              <w:t>Pa</w:t>
            </w:r>
          </w:p>
        </w:tc>
        <w:tc>
          <w:tcPr>
            <w:tcW w:w="3653" w:type="dxa"/>
            <w:noWrap w:val="0"/>
            <w:vAlign w:val="top"/>
          </w:tcPr>
          <w:p w14:paraId="689594B9">
            <w:pPr>
              <w:spacing w:line="276" w:lineRule="auto"/>
              <w:jc w:val="left"/>
              <w:rPr>
                <w:rFonts w:hint="eastAsia" w:ascii="宋体" w:hAnsi="宋体"/>
                <w:sz w:val="24"/>
              </w:rPr>
            </w:pPr>
            <w:r>
              <w:rPr>
                <w:rFonts w:hint="eastAsia" w:ascii="宋体" w:hAnsi="宋体"/>
                <w:sz w:val="24"/>
              </w:rPr>
              <w:t>≥</w:t>
            </w:r>
            <w:r>
              <w:rPr>
                <w:rFonts w:ascii="宋体" w:hAnsi="宋体"/>
                <w:sz w:val="24"/>
              </w:rPr>
              <w:t>6</w:t>
            </w:r>
          </w:p>
        </w:tc>
        <w:tc>
          <w:tcPr>
            <w:tcW w:w="625" w:type="dxa"/>
            <w:noWrap w:val="0"/>
            <w:vAlign w:val="top"/>
          </w:tcPr>
          <w:p w14:paraId="0462DA96">
            <w:pPr>
              <w:spacing w:line="276" w:lineRule="auto"/>
              <w:jc w:val="left"/>
              <w:rPr>
                <w:rFonts w:hint="eastAsia" w:ascii="宋体" w:hAnsi="宋体"/>
                <w:sz w:val="24"/>
              </w:rPr>
            </w:pPr>
          </w:p>
        </w:tc>
      </w:tr>
      <w:tr w14:paraId="2748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711" w:type="dxa"/>
            <w:noWrap w:val="0"/>
            <w:vAlign w:val="top"/>
          </w:tcPr>
          <w:p w14:paraId="2464C476">
            <w:pPr>
              <w:spacing w:line="276" w:lineRule="auto"/>
              <w:jc w:val="left"/>
              <w:rPr>
                <w:rFonts w:hint="eastAsia" w:ascii="宋体" w:hAnsi="宋体"/>
                <w:sz w:val="24"/>
              </w:rPr>
            </w:pPr>
            <w:r>
              <w:rPr>
                <w:rFonts w:hint="eastAsia" w:ascii="宋体" w:hAnsi="宋体"/>
                <w:sz w:val="24"/>
              </w:rPr>
              <w:t>1</w:t>
            </w:r>
            <w:r>
              <w:rPr>
                <w:rFonts w:ascii="宋体" w:hAnsi="宋体"/>
                <w:sz w:val="24"/>
              </w:rPr>
              <w:t>2</w:t>
            </w:r>
          </w:p>
        </w:tc>
        <w:tc>
          <w:tcPr>
            <w:tcW w:w="3459" w:type="dxa"/>
            <w:noWrap w:val="0"/>
            <w:vAlign w:val="top"/>
          </w:tcPr>
          <w:p w14:paraId="2C37747B">
            <w:pPr>
              <w:spacing w:line="276" w:lineRule="auto"/>
              <w:jc w:val="left"/>
              <w:rPr>
                <w:rFonts w:hint="eastAsia" w:ascii="宋体" w:hAnsi="宋体"/>
                <w:sz w:val="24"/>
              </w:rPr>
            </w:pPr>
            <w:r>
              <w:rPr>
                <w:rFonts w:ascii="宋体" w:hAnsi="宋体"/>
                <w:sz w:val="24"/>
              </w:rPr>
              <w:t>耐盐雾性</w:t>
            </w:r>
          </w:p>
        </w:tc>
        <w:tc>
          <w:tcPr>
            <w:tcW w:w="3653" w:type="dxa"/>
            <w:noWrap w:val="0"/>
            <w:vAlign w:val="top"/>
          </w:tcPr>
          <w:p w14:paraId="78E5D723">
            <w:pPr>
              <w:spacing w:line="276" w:lineRule="auto"/>
              <w:jc w:val="left"/>
              <w:rPr>
                <w:rFonts w:hint="eastAsia" w:ascii="宋体" w:hAnsi="宋体"/>
                <w:sz w:val="24"/>
              </w:rPr>
            </w:pPr>
            <w:r>
              <w:rPr>
                <w:rFonts w:hint="eastAsia" w:ascii="宋体" w:hAnsi="宋体"/>
                <w:sz w:val="24"/>
              </w:rPr>
              <w:t>6</w:t>
            </w:r>
            <w:r>
              <w:rPr>
                <w:rFonts w:ascii="宋体" w:hAnsi="宋体"/>
                <w:sz w:val="24"/>
              </w:rPr>
              <w:t>00</w:t>
            </w:r>
            <w:r>
              <w:rPr>
                <w:rFonts w:hint="eastAsia" w:ascii="宋体" w:hAnsi="宋体"/>
                <w:sz w:val="24"/>
              </w:rPr>
              <w:t xml:space="preserve"> h划痕处单向扩蚀≤2</w:t>
            </w:r>
            <w:r>
              <w:rPr>
                <w:rFonts w:ascii="宋体" w:hAnsi="宋体"/>
                <w:sz w:val="24"/>
              </w:rPr>
              <w:t>.0mm</w:t>
            </w:r>
            <w:r>
              <w:rPr>
                <w:rFonts w:hint="eastAsia" w:ascii="宋体" w:hAnsi="宋体"/>
                <w:sz w:val="24"/>
              </w:rPr>
              <w:t>，</w:t>
            </w:r>
            <w:r>
              <w:rPr>
                <w:rFonts w:ascii="宋体" w:hAnsi="宋体"/>
                <w:sz w:val="24"/>
              </w:rPr>
              <w:t>未划痕区无起泡</w:t>
            </w:r>
            <w:r>
              <w:rPr>
                <w:rFonts w:hint="eastAsia" w:ascii="宋体" w:hAnsi="宋体"/>
                <w:sz w:val="24"/>
              </w:rPr>
              <w:t>、</w:t>
            </w:r>
            <w:r>
              <w:rPr>
                <w:rFonts w:ascii="宋体" w:hAnsi="宋体"/>
                <w:sz w:val="24"/>
              </w:rPr>
              <w:t>生锈</w:t>
            </w:r>
            <w:r>
              <w:rPr>
                <w:rFonts w:hint="eastAsia" w:ascii="宋体" w:hAnsi="宋体"/>
                <w:sz w:val="24"/>
              </w:rPr>
              <w:t>、</w:t>
            </w:r>
            <w:r>
              <w:rPr>
                <w:rFonts w:ascii="宋体" w:hAnsi="宋体"/>
                <w:sz w:val="24"/>
              </w:rPr>
              <w:t>开裂</w:t>
            </w:r>
            <w:r>
              <w:rPr>
                <w:rFonts w:hint="eastAsia" w:ascii="宋体" w:hAnsi="宋体"/>
                <w:sz w:val="24"/>
              </w:rPr>
              <w:t>、</w:t>
            </w:r>
            <w:r>
              <w:rPr>
                <w:rFonts w:ascii="宋体" w:hAnsi="宋体"/>
                <w:sz w:val="24"/>
              </w:rPr>
              <w:t>剥落等现象</w:t>
            </w:r>
          </w:p>
        </w:tc>
        <w:tc>
          <w:tcPr>
            <w:tcW w:w="625" w:type="dxa"/>
            <w:noWrap w:val="0"/>
            <w:vAlign w:val="top"/>
          </w:tcPr>
          <w:p w14:paraId="37458D99">
            <w:pPr>
              <w:spacing w:line="276" w:lineRule="auto"/>
              <w:jc w:val="left"/>
              <w:rPr>
                <w:rFonts w:hint="eastAsia" w:ascii="宋体" w:hAnsi="宋体"/>
                <w:sz w:val="24"/>
              </w:rPr>
            </w:pPr>
          </w:p>
        </w:tc>
      </w:tr>
    </w:tbl>
    <w:p w14:paraId="69374236">
      <w:pPr>
        <w:spacing w:line="360" w:lineRule="auto"/>
        <w:ind w:firstLine="480"/>
        <w:rPr>
          <w:b/>
          <w:sz w:val="24"/>
        </w:rPr>
      </w:pPr>
      <w:r>
        <w:rPr>
          <w:rFonts w:hint="eastAsia" w:ascii="宋体" w:hAnsi="宋体"/>
          <w:b/>
          <w:sz w:val="24"/>
        </w:rPr>
        <w:t>三、</w:t>
      </w:r>
      <w:r>
        <w:rPr>
          <w:rFonts w:hint="eastAsia"/>
          <w:b/>
          <w:sz w:val="24"/>
        </w:rPr>
        <w:t>质保期</w:t>
      </w:r>
    </w:p>
    <w:p w14:paraId="3C5FC84A">
      <w:pPr>
        <w:spacing w:line="360" w:lineRule="auto"/>
        <w:ind w:firstLine="480"/>
        <w:rPr>
          <w:rFonts w:ascii="宋体" w:hAnsi="宋体" w:cs="宋体"/>
          <w:sz w:val="24"/>
          <w:highlight w:val="none"/>
        </w:rPr>
      </w:pPr>
      <w:r>
        <w:rPr>
          <w:rFonts w:hint="eastAsia" w:ascii="宋体" w:hAnsi="宋体" w:cs="宋体"/>
          <w:sz w:val="24"/>
          <w:highlight w:val="none"/>
        </w:rPr>
        <w:t>三年</w:t>
      </w:r>
      <w:r>
        <w:rPr>
          <w:rFonts w:hint="eastAsia" w:ascii="宋体" w:hAnsi="宋体" w:cs="宋体"/>
          <w:sz w:val="24"/>
          <w:highlight w:val="none"/>
          <w:lang w:eastAsia="zh-CN"/>
        </w:rPr>
        <w:t>，</w:t>
      </w:r>
      <w:r>
        <w:rPr>
          <w:rFonts w:hint="eastAsia" w:ascii="宋体" w:hAnsi="宋体" w:cs="宋体"/>
          <w:sz w:val="24"/>
          <w:highlight w:val="none"/>
        </w:rPr>
        <w:t>质保期从施工完成并经采购人验收合格之日起计算</w:t>
      </w:r>
    </w:p>
    <w:p w14:paraId="0A187168">
      <w:pPr>
        <w:spacing w:line="360" w:lineRule="auto"/>
        <w:ind w:firstLine="480"/>
        <w:rPr>
          <w:b/>
          <w:sz w:val="24"/>
        </w:rPr>
      </w:pPr>
      <w:r>
        <w:rPr>
          <w:rFonts w:hint="eastAsia"/>
          <w:b/>
          <w:sz w:val="24"/>
        </w:rPr>
        <w:t>四</w:t>
      </w:r>
      <w:r>
        <w:rPr>
          <w:rFonts w:hint="eastAsia" w:ascii="宋体" w:hAnsi="宋体"/>
          <w:b/>
          <w:sz w:val="24"/>
        </w:rPr>
        <w:t>、</w:t>
      </w:r>
      <w:r>
        <w:rPr>
          <w:rFonts w:hint="eastAsia"/>
          <w:b/>
          <w:sz w:val="24"/>
        </w:rPr>
        <w:t>施工及付款方式</w:t>
      </w:r>
    </w:p>
    <w:p w14:paraId="04992747">
      <w:pPr>
        <w:spacing w:line="360" w:lineRule="auto"/>
        <w:ind w:firstLine="480"/>
        <w:rPr>
          <w:rFonts w:hint="eastAsia" w:ascii="宋体" w:hAnsi="宋体"/>
          <w:sz w:val="24"/>
        </w:rPr>
      </w:pPr>
      <w:r>
        <w:rPr>
          <w:rFonts w:hint="eastAsia"/>
          <w:sz w:val="24"/>
        </w:rPr>
        <w:t>1</w:t>
      </w:r>
      <w:r>
        <w:rPr>
          <w:sz w:val="24"/>
        </w:rPr>
        <w:t>.</w:t>
      </w:r>
      <w:r>
        <w:rPr>
          <w:rFonts w:hint="eastAsia"/>
          <w:sz w:val="24"/>
        </w:rPr>
        <w:t>按实结算</w:t>
      </w:r>
      <w:r>
        <w:rPr>
          <w:rFonts w:hint="eastAsia" w:ascii="宋体" w:hAnsi="宋体"/>
          <w:sz w:val="24"/>
        </w:rPr>
        <w:t>；</w:t>
      </w:r>
    </w:p>
    <w:p w14:paraId="0FC85200">
      <w:pPr>
        <w:spacing w:line="360" w:lineRule="auto"/>
        <w:ind w:firstLine="48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施工方式：本项目合同签订后分批次施工，</w:t>
      </w:r>
      <w:r>
        <w:rPr>
          <w:rFonts w:hint="eastAsia" w:ascii="宋体" w:hAnsi="宋体"/>
          <w:sz w:val="24"/>
          <w:lang w:val="en-US" w:eastAsia="zh-CN"/>
        </w:rPr>
        <w:t>成交供应商</w:t>
      </w:r>
      <w:r>
        <w:rPr>
          <w:rFonts w:hint="eastAsia" w:ascii="宋体" w:hAnsi="宋体"/>
          <w:sz w:val="24"/>
        </w:rPr>
        <w:t>接</w:t>
      </w:r>
      <w:r>
        <w:rPr>
          <w:rFonts w:hint="eastAsia" w:ascii="宋体" w:hAnsi="宋体"/>
          <w:sz w:val="24"/>
          <w:lang w:val="en-US" w:eastAsia="zh-CN"/>
        </w:rPr>
        <w:t>采购人</w:t>
      </w:r>
      <w:bookmarkStart w:id="1" w:name="_GoBack"/>
      <w:bookmarkEnd w:id="1"/>
      <w:r>
        <w:rPr>
          <w:rFonts w:hint="eastAsia" w:ascii="宋体" w:hAnsi="宋体"/>
          <w:sz w:val="24"/>
        </w:rPr>
        <w:t>书面通知后20日完成本批次喷涂项目；</w:t>
      </w:r>
    </w:p>
    <w:p w14:paraId="6A9F58E2">
      <w:pPr>
        <w:spacing w:line="360" w:lineRule="auto"/>
        <w:ind w:firstLine="480"/>
        <w:rPr>
          <w:rFonts w:hint="eastAsia" w:ascii="宋体" w:hAnsi="宋体" w:cs="宋体"/>
          <w:sz w:val="24"/>
          <w:highlight w:val="none"/>
        </w:rPr>
      </w:pPr>
      <w:r>
        <w:rPr>
          <w:rFonts w:hint="eastAsia" w:ascii="宋体" w:hAnsi="宋体" w:cs="宋体"/>
          <w:sz w:val="24"/>
          <w:highlight w:val="none"/>
        </w:rPr>
        <w:t>3.付款方式：成交供应商在规定时间内将全部货物运达到货地点且入库验收合格后，成交供应商提供金额为合同总价100%的增值税专用发票，经采购人审核无误后60天内（日历天数），采购人支付合同总价的95%；质保期（三年）结束后采购人支付总价的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F4C5D"/>
    <w:rsid w:val="6A3F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2025-01-22T03:19:00Z</dcterms:created>
  <dc:creator>兰馥郁</dc:creator>
  <cp:lastModifiedBy>兰馥郁</cp:lastModifiedBy>
  <dcterms:modified xsi:type="dcterms:W3CDTF">2025-01-22T03:24:30Z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62E677A6C0F84032885BDB93CA215D26_11</vt:lpwstr>
  </property>
  <property fmtid="{D5CDD505-2E9C-101B-9397-08002B2CF9AE}" pid="4" name="KSOTemplateDocerSaveRecord">
    <vt:lpwstr>eyJoZGlkIjoiZDBiNTA3OWI5NTI5NzliMDdhOTA5Nzg1YzIyNTUzZDkiLCJ1c2VySWQiOiIyNzYwMTEwNDMifQ==</vt:lpwstr>
  </property>
</Properties>
</file>