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BCFA" w14:textId="77777777" w:rsidR="00301F1C" w:rsidRDefault="00000000">
      <w:pPr>
        <w:snapToGrid w:val="0"/>
        <w:spacing w:line="360" w:lineRule="auto"/>
        <w:jc w:val="center"/>
        <w:rPr>
          <w:rFonts w:ascii="仿宋" w:eastAsia="仿宋" w:hAnsi="仿宋" w:cs="仿宋" w:hint="eastAsia"/>
          <w:b/>
          <w:spacing w:val="10"/>
          <w:sz w:val="32"/>
          <w:szCs w:val="32"/>
        </w:rPr>
      </w:pPr>
      <w:r>
        <w:rPr>
          <w:rFonts w:ascii="仿宋" w:eastAsia="仿宋" w:hAnsi="仿宋" w:cs="仿宋" w:hint="eastAsia"/>
          <w:b/>
          <w:spacing w:val="10"/>
          <w:sz w:val="36"/>
          <w:szCs w:val="36"/>
        </w:rPr>
        <w:t>合同名称：</w:t>
      </w:r>
      <w:r>
        <w:rPr>
          <w:rFonts w:ascii="仿宋" w:eastAsia="仿宋" w:hAnsi="仿宋" w:cs="仿宋" w:hint="eastAsia"/>
          <w:b/>
          <w:sz w:val="36"/>
          <w:szCs w:val="36"/>
        </w:rPr>
        <w:t>长三角一体化-新北泰兴跨江联动快速连接建设项目照明工程高架匝道灯预埋件采购项目</w:t>
      </w:r>
    </w:p>
    <w:p w14:paraId="456785A8"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签订地点：常州市新北区河海西路520号</w:t>
      </w:r>
    </w:p>
    <w:p w14:paraId="2F7F58C5"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 xml:space="preserve">签订时间：                 </w:t>
      </w:r>
    </w:p>
    <w:p w14:paraId="437D5622"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合同编号：</w:t>
      </w:r>
    </w:p>
    <w:p w14:paraId="3A5E24A7"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甲方：常州市城市照明工程有限公司</w:t>
      </w:r>
    </w:p>
    <w:p w14:paraId="48B0ED63"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乙方：</w:t>
      </w:r>
    </w:p>
    <w:p w14:paraId="468FDD2F"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一、乙方按甲方要求，按照《中华人民共和国民法典》及相关法律法规的规定，结合本工程具体情况，双方达成如下协议。</w:t>
      </w:r>
    </w:p>
    <w:p w14:paraId="18253555"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1、工程名称：长三角一体化-新北泰兴跨江联动快速连接建设项目照明工程高架匝道灯预埋件采购项目</w:t>
      </w:r>
    </w:p>
    <w:p w14:paraId="667BCEE0"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2、工程地点：常州</w:t>
      </w:r>
    </w:p>
    <w:p w14:paraId="36BC4EC7"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3、承包范围：</w:t>
      </w:r>
    </w:p>
    <w:p w14:paraId="7126F53E"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4、合同价格：</w:t>
      </w:r>
    </w:p>
    <w:p w14:paraId="7E9B3A44"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5、合同履行期限：根据项目进度</w:t>
      </w:r>
    </w:p>
    <w:p w14:paraId="24172E87"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二、合同文件：</w:t>
      </w:r>
    </w:p>
    <w:p w14:paraId="2860B335"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下列材料采购文件是构成本合同不可分割的部分：</w:t>
      </w:r>
    </w:p>
    <w:p w14:paraId="20C7BAA5"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1、本招标文件CT-SX-2025028及相关的谈判记录资料；</w:t>
      </w:r>
    </w:p>
    <w:p w14:paraId="294FFCDF"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2、乙方提交的申报文件及相关资料；</w:t>
      </w:r>
    </w:p>
    <w:p w14:paraId="7CA4C1F0"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3、经甲、乙方确认的补充协议及来往函件。</w:t>
      </w:r>
    </w:p>
    <w:p w14:paraId="57B1069A"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三、适用法律、标准及规范</w:t>
      </w:r>
    </w:p>
    <w:p w14:paraId="3D5729DF"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本合同适用的标准和规范：现行国家有关标准、规范。</w:t>
      </w:r>
    </w:p>
    <w:p w14:paraId="53EE2761"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lastRenderedPageBreak/>
        <w:t>四、合同价款：</w:t>
      </w:r>
    </w:p>
    <w:p w14:paraId="72698622" w14:textId="77777777" w:rsidR="00301F1C"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554BB4A5"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五、质量保证：</w:t>
      </w:r>
    </w:p>
    <w:p w14:paraId="545E062A"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1、乙方严格按照招标文件及谈判达成的协议进行货物的采购及检验，并对其质量负责。</w:t>
      </w:r>
    </w:p>
    <w:p w14:paraId="361F6C80"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2、乙方负责提供的材料，其品牌、型号、规格等必须与投标报价单一致，并提供产品说明书，相关检测证明及相关参数、要求，不得以次充好。</w:t>
      </w:r>
    </w:p>
    <w:p w14:paraId="6E922BE9" w14:textId="77777777" w:rsidR="00301F1C"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78AB796F"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权直接从剩余应付货款中扣除。质保期内，有质量问题的货物，甲方</w:t>
      </w:r>
      <w:r>
        <w:rPr>
          <w:rFonts w:ascii="仿宋" w:eastAsia="仿宋" w:hAnsi="仿宋" w:cs="仿宋" w:hint="eastAsia"/>
          <w:bCs/>
          <w:sz w:val="28"/>
          <w:szCs w:val="28"/>
        </w:rPr>
        <w:lastRenderedPageBreak/>
        <w:t>有权就有问题的货物向乙方主张退款退货并要求乙方承担该有问题的货物采购价款总和的2倍作为违约金。</w:t>
      </w:r>
    </w:p>
    <w:p w14:paraId="655E97D3"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六、供货期：</w:t>
      </w:r>
    </w:p>
    <w:p w14:paraId="78F36745"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1、乙方自收到订单2日内提供详细的供货计划表，未按计划表供应相关材料所导致的人员、机械窝工、工期延误等经济损失由乙方承担。</w:t>
      </w:r>
      <w:r>
        <w:rPr>
          <w:rFonts w:ascii="仿宋" w:eastAsia="仿宋" w:hAnsi="仿宋" w:cs="仿宋" w:hint="eastAsia"/>
          <w:b/>
          <w:color w:val="FF0000"/>
          <w:sz w:val="28"/>
          <w:szCs w:val="28"/>
        </w:rPr>
        <w:t>乙方自订单收到起7天完成供货</w:t>
      </w:r>
      <w:r>
        <w:rPr>
          <w:rFonts w:ascii="仿宋" w:eastAsia="仿宋" w:hAnsi="仿宋" w:cs="仿宋" w:hint="eastAsia"/>
          <w:bCs/>
          <w:color w:val="FF0000"/>
          <w:sz w:val="28"/>
          <w:szCs w:val="28"/>
        </w:rPr>
        <w:t>，</w:t>
      </w:r>
      <w:r>
        <w:rPr>
          <w:rFonts w:ascii="仿宋" w:eastAsia="仿宋" w:hAnsi="仿宋" w:cs="仿宋" w:hint="eastAsia"/>
          <w:bCs/>
          <w:sz w:val="28"/>
          <w:szCs w:val="28"/>
        </w:rPr>
        <w:t>供货地点为甲方指定地点，签收日期为甲方签收日期。</w:t>
      </w:r>
    </w:p>
    <w:p w14:paraId="2CCDB84E"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6B245416" w14:textId="77777777" w:rsidR="00301F1C"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3、乙方必须在合同约定的供货期内保质保量按期供货，逾期（不可抗力及甲方原因除外）按日加收合同总款1%的违约金。如果逾期超过10天，甲方有权解除合同。甲方解除合同的通知将以邮寄形式邮寄到乙方所在地，时间从到达乙方时生效。</w:t>
      </w:r>
    </w:p>
    <w:p w14:paraId="6BBAC255"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七、验收：</w:t>
      </w:r>
    </w:p>
    <w:p w14:paraId="76BE17E8"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1、材料数量为暂定数量，实际数量应根据甲方签字确认的数量确定。</w:t>
      </w:r>
    </w:p>
    <w:p w14:paraId="75A8282C" w14:textId="77777777" w:rsidR="00301F1C"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2、甲乙双方、监理共同将依据有关规定，对货物进行验收，并签字确认。</w:t>
      </w:r>
    </w:p>
    <w:p w14:paraId="4F1A1ACB"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八、结算及付款期限：</w:t>
      </w:r>
    </w:p>
    <w:p w14:paraId="31AA1B0C" w14:textId="77777777" w:rsidR="00E13059" w:rsidRDefault="004C7378">
      <w:pPr>
        <w:spacing w:line="360" w:lineRule="auto"/>
        <w:ind w:firstLineChars="200" w:firstLine="560"/>
        <w:rPr>
          <w:rFonts w:ascii="仿宋" w:eastAsia="仿宋" w:hAnsi="仿宋" w:cs="仿宋"/>
          <w:bCs/>
          <w:sz w:val="28"/>
          <w:szCs w:val="28"/>
        </w:rPr>
      </w:pPr>
      <w:r w:rsidRPr="004C7378">
        <w:rPr>
          <w:rFonts w:ascii="仿宋" w:eastAsia="仿宋" w:hAnsi="仿宋" w:cs="仿宋" w:hint="eastAsia"/>
          <w:bCs/>
          <w:sz w:val="28"/>
          <w:szCs w:val="28"/>
        </w:rPr>
        <w:lastRenderedPageBreak/>
        <w:t>1、在合同生效后5个工作日内，由乙方提交合同价5%的履约保证金；乙方在本合同履行过程中无任何违约情形的，甲方在货物全部到达现场并验收合格后二十八（28）天后退还履约保证金给乙方（无息）。</w:t>
      </w:r>
    </w:p>
    <w:p w14:paraId="3782AC7F" w14:textId="5366CFC5" w:rsidR="00301F1C" w:rsidRDefault="00E13059">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w:t>
      </w:r>
      <w:r w:rsidR="00000000">
        <w:rPr>
          <w:rFonts w:ascii="仿宋" w:eastAsia="仿宋" w:hAnsi="仿宋" w:cs="仿宋" w:hint="eastAsia"/>
          <w:bCs/>
          <w:sz w:val="28"/>
          <w:szCs w:val="28"/>
        </w:rPr>
        <w:t>、在合同约定的供货期内，除本合同及招标文件中另有约定予以调整外，材料单价不得调整。</w:t>
      </w:r>
    </w:p>
    <w:p w14:paraId="2B205A4E" w14:textId="1970D713" w:rsidR="00301F1C" w:rsidRDefault="00E13059">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w:t>
      </w:r>
      <w:r w:rsidR="00000000">
        <w:rPr>
          <w:rFonts w:ascii="仿宋" w:eastAsia="仿宋" w:hAnsi="仿宋" w:cs="仿宋" w:hint="eastAsia"/>
          <w:bCs/>
          <w:sz w:val="28"/>
          <w:szCs w:val="28"/>
        </w:rPr>
        <w:t>、招标文件中没有的材料，在施工过程中变更调整增加的,由乙方参照本次投标报价编制、申报单价，报监理和审计部门，由甲方最终确定结算价格。</w:t>
      </w:r>
    </w:p>
    <w:p w14:paraId="133537D5" w14:textId="704A40FE" w:rsidR="00301F1C" w:rsidRDefault="00E13059">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w:t>
      </w:r>
      <w:r w:rsidR="00000000">
        <w:rPr>
          <w:rFonts w:ascii="仿宋" w:eastAsia="仿宋" w:hAnsi="仿宋" w:cs="仿宋" w:hint="eastAsia"/>
          <w:bCs/>
          <w:sz w:val="28"/>
          <w:szCs w:val="28"/>
        </w:rPr>
        <w:t>、付款方式：本合同以人民币结算。</w:t>
      </w:r>
    </w:p>
    <w:p w14:paraId="36589A41" w14:textId="77777777" w:rsidR="00301F1C" w:rsidRDefault="00000000">
      <w:pPr>
        <w:spacing w:line="360" w:lineRule="auto"/>
        <w:ind w:firstLineChars="200" w:firstLine="602"/>
        <w:rPr>
          <w:rFonts w:ascii="仿宋" w:eastAsia="仿宋" w:hAnsi="仿宋" w:cs="仿宋" w:hint="eastAsia"/>
          <w:b/>
          <w:spacing w:val="10"/>
          <w:sz w:val="28"/>
          <w:szCs w:val="28"/>
        </w:rPr>
      </w:pPr>
      <w:r>
        <w:rPr>
          <w:rFonts w:ascii="仿宋" w:eastAsia="仿宋" w:hAnsi="仿宋" w:cs="仿宋" w:hint="eastAsia"/>
          <w:b/>
          <w:spacing w:val="10"/>
          <w:sz w:val="28"/>
          <w:szCs w:val="28"/>
        </w:rPr>
        <w:t>乙方在规定时间内将全部货物运达到货地点且入库验收合格后，乙方提供金额为合同总价100%的增值税专用发票，经甲方审核无误后60天内（日历天数），甲方支付合同总价的95%；</w:t>
      </w:r>
    </w:p>
    <w:p w14:paraId="3A974941" w14:textId="77777777" w:rsidR="00301F1C" w:rsidRDefault="00000000">
      <w:pPr>
        <w:spacing w:line="360" w:lineRule="auto"/>
        <w:rPr>
          <w:rFonts w:ascii="仿宋" w:eastAsia="仿宋" w:hAnsi="仿宋" w:cs="仿宋" w:hint="eastAsia"/>
          <w:b/>
          <w:spacing w:val="10"/>
          <w:sz w:val="28"/>
          <w:szCs w:val="28"/>
        </w:rPr>
      </w:pPr>
      <w:r>
        <w:rPr>
          <w:rFonts w:ascii="仿宋" w:eastAsia="仿宋" w:hAnsi="仿宋" w:cs="仿宋" w:hint="eastAsia"/>
          <w:b/>
          <w:spacing w:val="10"/>
          <w:sz w:val="28"/>
          <w:szCs w:val="28"/>
        </w:rPr>
        <w:t>质保期（二年）结束后甲方支付总价的5%。</w:t>
      </w:r>
    </w:p>
    <w:p w14:paraId="02AD078D"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九、材料的运输、装卸由乙方负责,费用由乙方承担。</w:t>
      </w:r>
    </w:p>
    <w:p w14:paraId="430764CB"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0DB29EE9" w14:textId="77777777" w:rsidR="00301F1C"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2.报价包含运输至甲方仓库入库检验的相关费用（包含装卸费用）。在运输、装卸等环节，必须做好成品保护，确保货物完好无损。</w:t>
      </w:r>
      <w:r>
        <w:rPr>
          <w:rFonts w:ascii="仿宋" w:eastAsia="仿宋" w:hAnsi="仿宋" w:cs="仿宋" w:hint="eastAsia"/>
          <w:bCs/>
          <w:sz w:val="28"/>
          <w:szCs w:val="28"/>
        </w:rPr>
        <w:lastRenderedPageBreak/>
        <w:t>所有措施费用含在投标报价中。</w:t>
      </w:r>
    </w:p>
    <w:p w14:paraId="18870EFD"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十、保修及售后服务：</w:t>
      </w:r>
    </w:p>
    <w:p w14:paraId="1056B82F"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1、详见乙方投标文件中提供的售后服务承诺。</w:t>
      </w:r>
    </w:p>
    <w:p w14:paraId="69E4A65C"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w:t>
      </w:r>
      <w:r>
        <w:rPr>
          <w:rFonts w:ascii="仿宋" w:eastAsia="仿宋" w:hAnsi="仿宋" w:cs="仿宋" w:hint="eastAsia"/>
          <w:b/>
          <w:color w:val="FF0000"/>
          <w:sz w:val="28"/>
          <w:szCs w:val="28"/>
        </w:rPr>
        <w:t>质保期两年</w:t>
      </w:r>
      <w:r>
        <w:rPr>
          <w:rFonts w:ascii="仿宋" w:eastAsia="仿宋" w:hAnsi="仿宋" w:cs="仿宋" w:hint="eastAsia"/>
          <w:bCs/>
          <w:sz w:val="28"/>
          <w:szCs w:val="28"/>
        </w:rPr>
        <w:t>，在此期间乙方应按照相关的国家规范和行业标准的规定对其产品负责。质保期自货物安装、调试完成，经甲方确认后开始起算。</w:t>
      </w:r>
    </w:p>
    <w:p w14:paraId="03CEF59C" w14:textId="77777777" w:rsidR="00301F1C" w:rsidRDefault="00000000">
      <w:pPr>
        <w:spacing w:line="360" w:lineRule="auto"/>
        <w:ind w:firstLineChars="200" w:firstLine="560"/>
        <w:rPr>
          <w:rFonts w:ascii="仿宋" w:eastAsia="仿宋" w:hAnsi="仿宋" w:cs="仿宋" w:hint="eastAsia"/>
          <w:spacing w:val="10"/>
          <w:sz w:val="28"/>
          <w:szCs w:val="28"/>
        </w:rPr>
      </w:pPr>
      <w:r>
        <w:rPr>
          <w:rFonts w:ascii="仿宋" w:eastAsia="仿宋" w:hAnsi="仿宋" w:cs="仿宋" w:hint="eastAsia"/>
          <w:bCs/>
          <w:sz w:val="28"/>
          <w:szCs w:val="28"/>
        </w:rPr>
        <w:t>3、质保期内因乙方原因导致甲方损失的，乙方应承担赔偿责任。</w:t>
      </w:r>
    </w:p>
    <w:p w14:paraId="35B12183"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十一、其它约定事项：</w:t>
      </w:r>
    </w:p>
    <w:p w14:paraId="675F6F23"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1、乙方有义务在合同执行量到80%时提醒甲方，否则在订单下达时超过合同执行量的订单为无效订单。</w:t>
      </w:r>
    </w:p>
    <w:p w14:paraId="533775AB"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2、乙方在履行本合同过程中应确保安全施工，如发生意外人身损害事故或其他安全事故的，由乙方承担全部责任，甲方不承担任何责任和赔偿。</w:t>
      </w:r>
    </w:p>
    <w:p w14:paraId="11AA06CD"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w:t>
      </w:r>
      <w:r>
        <w:rPr>
          <w:rFonts w:ascii="仿宋" w:eastAsia="仿宋" w:hAnsi="仿宋" w:cs="仿宋" w:hint="eastAsia"/>
          <w:bCs/>
          <w:sz w:val="28"/>
          <w:szCs w:val="28"/>
        </w:rPr>
        <w:lastRenderedPageBreak/>
        <w:t>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42D3AC9B"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4D9190BF"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5、本合同经甲方、乙方签字盖章后生效，如有变动，必须经甲方、乙方协商一致后方可更改。本合同一式肆份，甲方叁份，乙方壹份。</w:t>
      </w:r>
    </w:p>
    <w:p w14:paraId="646AD271" w14:textId="77777777" w:rsidR="00301F1C" w:rsidRDefault="00000000">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6、因履行本合同引起的或与本合同有关的争议，甲、乙双方应首先通过友好协商解决，如果协商不能解决争议，可以向甲方所在地人民法院提起诉讼。</w:t>
      </w:r>
    </w:p>
    <w:p w14:paraId="711817D5" w14:textId="77777777" w:rsidR="00301F1C" w:rsidRDefault="00301F1C">
      <w:pPr>
        <w:snapToGrid w:val="0"/>
        <w:spacing w:line="360" w:lineRule="auto"/>
        <w:rPr>
          <w:rFonts w:ascii="仿宋" w:eastAsia="仿宋" w:hAnsi="仿宋" w:cs="仿宋" w:hint="eastAsia"/>
          <w:spacing w:val="10"/>
          <w:sz w:val="28"/>
          <w:szCs w:val="28"/>
        </w:rPr>
      </w:pPr>
    </w:p>
    <w:p w14:paraId="44573DF7" w14:textId="77777777" w:rsidR="00301F1C" w:rsidRDefault="00301F1C">
      <w:pPr>
        <w:snapToGrid w:val="0"/>
        <w:spacing w:line="360" w:lineRule="auto"/>
        <w:rPr>
          <w:rFonts w:ascii="仿宋" w:eastAsia="仿宋" w:hAnsi="仿宋" w:cs="仿宋" w:hint="eastAsia"/>
          <w:spacing w:val="10"/>
          <w:sz w:val="28"/>
          <w:szCs w:val="28"/>
        </w:rPr>
      </w:pPr>
    </w:p>
    <w:p w14:paraId="61F102AC" w14:textId="77777777" w:rsidR="00301F1C" w:rsidRDefault="00301F1C">
      <w:pPr>
        <w:snapToGrid w:val="0"/>
        <w:spacing w:line="360" w:lineRule="auto"/>
        <w:rPr>
          <w:rFonts w:ascii="仿宋" w:eastAsia="仿宋" w:hAnsi="仿宋" w:cs="仿宋" w:hint="eastAsia"/>
          <w:spacing w:val="10"/>
          <w:sz w:val="28"/>
          <w:szCs w:val="28"/>
        </w:rPr>
      </w:pPr>
    </w:p>
    <w:p w14:paraId="455B6DD5" w14:textId="77777777" w:rsidR="00301F1C" w:rsidRDefault="00301F1C">
      <w:pPr>
        <w:snapToGrid w:val="0"/>
        <w:spacing w:line="360" w:lineRule="auto"/>
        <w:rPr>
          <w:rFonts w:ascii="仿宋" w:eastAsia="仿宋" w:hAnsi="仿宋" w:cs="仿宋" w:hint="eastAsia"/>
          <w:spacing w:val="10"/>
          <w:sz w:val="28"/>
          <w:szCs w:val="28"/>
        </w:rPr>
      </w:pPr>
    </w:p>
    <w:p w14:paraId="5F915992" w14:textId="77777777" w:rsidR="00301F1C" w:rsidRDefault="00301F1C">
      <w:pPr>
        <w:snapToGrid w:val="0"/>
        <w:spacing w:line="360" w:lineRule="auto"/>
        <w:rPr>
          <w:rFonts w:ascii="仿宋" w:eastAsia="仿宋" w:hAnsi="仿宋" w:cs="仿宋" w:hint="eastAsia"/>
          <w:spacing w:val="10"/>
          <w:sz w:val="28"/>
          <w:szCs w:val="28"/>
        </w:rPr>
      </w:pPr>
    </w:p>
    <w:p w14:paraId="0A863361" w14:textId="77777777" w:rsidR="00301F1C" w:rsidRDefault="00000000">
      <w:pPr>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br w:type="page"/>
      </w:r>
    </w:p>
    <w:p w14:paraId="66262408"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lastRenderedPageBreak/>
        <w:t>此页无正文</w:t>
      </w:r>
    </w:p>
    <w:p w14:paraId="6041399F" w14:textId="77777777" w:rsidR="00301F1C" w:rsidRDefault="00301F1C">
      <w:pPr>
        <w:snapToGrid w:val="0"/>
        <w:spacing w:line="360" w:lineRule="auto"/>
        <w:rPr>
          <w:rFonts w:ascii="仿宋" w:eastAsia="仿宋" w:hAnsi="仿宋" w:cs="仿宋" w:hint="eastAsia"/>
          <w:spacing w:val="10"/>
          <w:sz w:val="28"/>
          <w:szCs w:val="28"/>
        </w:rPr>
      </w:pPr>
    </w:p>
    <w:p w14:paraId="414C661F" w14:textId="77777777" w:rsidR="00301F1C" w:rsidRDefault="00301F1C">
      <w:pPr>
        <w:snapToGrid w:val="0"/>
        <w:spacing w:line="360" w:lineRule="auto"/>
        <w:rPr>
          <w:rFonts w:ascii="仿宋" w:eastAsia="仿宋" w:hAnsi="仿宋" w:cs="仿宋" w:hint="eastAsia"/>
          <w:spacing w:val="10"/>
          <w:sz w:val="28"/>
          <w:szCs w:val="28"/>
        </w:rPr>
      </w:pPr>
    </w:p>
    <w:p w14:paraId="2AF6998A"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甲      方：                           乙     方：</w:t>
      </w:r>
    </w:p>
    <w:p w14:paraId="516D1AA6"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单位名称（章）：                       单位名称（章）：</w:t>
      </w:r>
    </w:p>
    <w:p w14:paraId="61A43223"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单位 地址：                            单位地址：</w:t>
      </w:r>
    </w:p>
    <w:p w14:paraId="73244EC4"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法定代表人：                           法定代表人：</w:t>
      </w:r>
    </w:p>
    <w:p w14:paraId="52EE9E2D"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或委托代理人：                         或委托代表人：</w:t>
      </w:r>
    </w:p>
    <w:p w14:paraId="2737109F"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开户银行：                             开户银行：</w:t>
      </w:r>
    </w:p>
    <w:p w14:paraId="0685694D" w14:textId="77777777" w:rsidR="00301F1C" w:rsidRDefault="00000000">
      <w:pPr>
        <w:snapToGrid w:val="0"/>
        <w:spacing w:line="360" w:lineRule="auto"/>
        <w:rPr>
          <w:rFonts w:ascii="仿宋" w:eastAsia="仿宋" w:hAnsi="仿宋" w:cs="仿宋" w:hint="eastAsia"/>
          <w:spacing w:val="10"/>
          <w:sz w:val="28"/>
          <w:szCs w:val="28"/>
        </w:rPr>
      </w:pPr>
      <w:r>
        <w:rPr>
          <w:rFonts w:ascii="仿宋" w:eastAsia="仿宋" w:hAnsi="仿宋" w:cs="仿宋" w:hint="eastAsia"/>
          <w:spacing w:val="10"/>
          <w:sz w:val="28"/>
          <w:szCs w:val="28"/>
        </w:rPr>
        <w:t>银行帐号：                             银行帐号：</w:t>
      </w:r>
    </w:p>
    <w:p w14:paraId="472551AA" w14:textId="77777777" w:rsidR="00301F1C" w:rsidRDefault="00000000">
      <w:pPr>
        <w:snapToGrid w:val="0"/>
        <w:spacing w:line="360" w:lineRule="auto"/>
        <w:rPr>
          <w:rFonts w:ascii="仿宋" w:eastAsia="仿宋" w:hAnsi="仿宋" w:cs="仿宋" w:hint="eastAsia"/>
          <w:sz w:val="28"/>
          <w:szCs w:val="28"/>
        </w:rPr>
      </w:pPr>
      <w:r>
        <w:rPr>
          <w:rFonts w:ascii="仿宋" w:eastAsia="仿宋" w:hAnsi="仿宋" w:cs="仿宋" w:hint="eastAsia"/>
          <w:spacing w:val="10"/>
          <w:sz w:val="28"/>
          <w:szCs w:val="28"/>
        </w:rPr>
        <w:t>电    话：                             电    话：</w:t>
      </w:r>
    </w:p>
    <w:p w14:paraId="7DBAC46A" w14:textId="77777777" w:rsidR="00301F1C" w:rsidRDefault="00301F1C">
      <w:pPr>
        <w:snapToGrid w:val="0"/>
        <w:spacing w:line="360" w:lineRule="auto"/>
        <w:rPr>
          <w:rFonts w:ascii="仿宋" w:eastAsia="仿宋" w:hAnsi="仿宋" w:cs="仿宋" w:hint="eastAsia"/>
          <w:sz w:val="28"/>
          <w:szCs w:val="28"/>
        </w:rPr>
      </w:pPr>
    </w:p>
    <w:p w14:paraId="010E18AA" w14:textId="77777777" w:rsidR="00301F1C" w:rsidRDefault="00301F1C">
      <w:pPr>
        <w:snapToGrid w:val="0"/>
        <w:spacing w:line="360" w:lineRule="auto"/>
        <w:rPr>
          <w:rFonts w:ascii="仿宋" w:eastAsia="仿宋" w:hAnsi="仿宋" w:cs="仿宋" w:hint="eastAsia"/>
          <w:sz w:val="28"/>
          <w:szCs w:val="28"/>
        </w:rPr>
      </w:pPr>
    </w:p>
    <w:p w14:paraId="14D4D281" w14:textId="77777777" w:rsidR="00301F1C" w:rsidRDefault="00301F1C">
      <w:pPr>
        <w:spacing w:line="360" w:lineRule="auto"/>
        <w:rPr>
          <w:rFonts w:ascii="仿宋" w:eastAsia="仿宋" w:hAnsi="仿宋" w:cs="仿宋" w:hint="eastAsia"/>
          <w:sz w:val="28"/>
          <w:szCs w:val="28"/>
        </w:rPr>
      </w:pPr>
    </w:p>
    <w:p w14:paraId="439C60CD" w14:textId="77777777" w:rsidR="00301F1C" w:rsidRDefault="00301F1C">
      <w:pPr>
        <w:spacing w:line="360" w:lineRule="auto"/>
        <w:rPr>
          <w:rFonts w:ascii="仿宋" w:eastAsia="仿宋" w:hAnsi="仿宋" w:cs="仿宋" w:hint="eastAsia"/>
          <w:sz w:val="28"/>
          <w:szCs w:val="28"/>
        </w:rPr>
      </w:pPr>
    </w:p>
    <w:p w14:paraId="30FE64DA" w14:textId="77777777" w:rsidR="00301F1C" w:rsidRDefault="00301F1C">
      <w:pPr>
        <w:spacing w:line="360" w:lineRule="auto"/>
        <w:rPr>
          <w:rFonts w:ascii="仿宋" w:eastAsia="仿宋" w:hAnsi="仿宋" w:cs="仿宋" w:hint="eastAsia"/>
          <w:sz w:val="28"/>
          <w:szCs w:val="28"/>
        </w:rPr>
      </w:pPr>
    </w:p>
    <w:sectPr w:rsidR="00301F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C9A8" w14:textId="77777777" w:rsidR="000C3AA8" w:rsidRDefault="000C3AA8" w:rsidP="004C7378">
      <w:r>
        <w:separator/>
      </w:r>
    </w:p>
  </w:endnote>
  <w:endnote w:type="continuationSeparator" w:id="0">
    <w:p w14:paraId="5C76EAC2" w14:textId="77777777" w:rsidR="000C3AA8" w:rsidRDefault="000C3AA8" w:rsidP="004C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F6E4" w14:textId="77777777" w:rsidR="000C3AA8" w:rsidRDefault="000C3AA8" w:rsidP="004C7378">
      <w:r>
        <w:separator/>
      </w:r>
    </w:p>
  </w:footnote>
  <w:footnote w:type="continuationSeparator" w:id="0">
    <w:p w14:paraId="01BFF837" w14:textId="77777777" w:rsidR="000C3AA8" w:rsidRDefault="000C3AA8" w:rsidP="004C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EB6B0C"/>
    <w:rsid w:val="000C3AA8"/>
    <w:rsid w:val="00301F1C"/>
    <w:rsid w:val="004C7378"/>
    <w:rsid w:val="004D7607"/>
    <w:rsid w:val="005E60E0"/>
    <w:rsid w:val="00642C7B"/>
    <w:rsid w:val="009025A8"/>
    <w:rsid w:val="00932C5E"/>
    <w:rsid w:val="00AE0886"/>
    <w:rsid w:val="00B32ADB"/>
    <w:rsid w:val="00C363B6"/>
    <w:rsid w:val="00E13059"/>
    <w:rsid w:val="14EB6B0C"/>
    <w:rsid w:val="2197751D"/>
    <w:rsid w:val="57A36328"/>
    <w:rsid w:val="6582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C6BA2"/>
  <w15:docId w15:val="{50AF0F92-0F63-456B-9B65-A15224BB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3">
    <w:name w:val="header"/>
    <w:basedOn w:val="a"/>
    <w:link w:val="a4"/>
    <w:rsid w:val="004C7378"/>
    <w:pPr>
      <w:tabs>
        <w:tab w:val="center" w:pos="4153"/>
        <w:tab w:val="right" w:pos="8306"/>
      </w:tabs>
      <w:snapToGrid w:val="0"/>
      <w:jc w:val="center"/>
    </w:pPr>
    <w:rPr>
      <w:sz w:val="18"/>
      <w:szCs w:val="18"/>
    </w:rPr>
  </w:style>
  <w:style w:type="character" w:customStyle="1" w:styleId="a4">
    <w:name w:val="页眉 字符"/>
    <w:basedOn w:val="a0"/>
    <w:link w:val="a3"/>
    <w:rsid w:val="004C7378"/>
    <w:rPr>
      <w:rFonts w:ascii="Times New Roman" w:eastAsia="宋体" w:hAnsi="Times New Roman" w:cs="Times New Roman"/>
      <w:kern w:val="2"/>
      <w:sz w:val="18"/>
      <w:szCs w:val="18"/>
    </w:rPr>
  </w:style>
  <w:style w:type="paragraph" w:styleId="a5">
    <w:name w:val="footer"/>
    <w:basedOn w:val="a"/>
    <w:link w:val="a6"/>
    <w:rsid w:val="004C7378"/>
    <w:pPr>
      <w:tabs>
        <w:tab w:val="center" w:pos="4153"/>
        <w:tab w:val="right" w:pos="8306"/>
      </w:tabs>
      <w:snapToGrid w:val="0"/>
      <w:jc w:val="left"/>
    </w:pPr>
    <w:rPr>
      <w:sz w:val="18"/>
      <w:szCs w:val="18"/>
    </w:rPr>
  </w:style>
  <w:style w:type="character" w:customStyle="1" w:styleId="a6">
    <w:name w:val="页脚 字符"/>
    <w:basedOn w:val="a0"/>
    <w:link w:val="a5"/>
    <w:rsid w:val="004C737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兰馥郁</dc:creator>
  <cp:lastModifiedBy>张媛</cp:lastModifiedBy>
  <cp:revision>8</cp:revision>
  <dcterms:created xsi:type="dcterms:W3CDTF">2025-02-22T02:35:00Z</dcterms:created>
  <dcterms:modified xsi:type="dcterms:W3CDTF">2025-03-11T05:48:00Z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C8D4ABE002C845DFA38A3C39CA01B35D_11</vt:lpwstr>
  </property>
  <property fmtid="{D5CDD505-2E9C-101B-9397-08002B2CF9AE}" pid="4" name="KSOTemplateDocerSaveRecord">
    <vt:lpwstr>eyJoZGlkIjoiZDBiNTA3OWI5NTI5NzliMDdhOTA5Nzg1YzIyNTUzZDkiLCJ1c2VySWQiOiIyNzYwMTEwNDMifQ==</vt:lpwstr>
  </property>
</Properties>
</file>