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ACEE" w14:textId="77777777" w:rsidR="00A5429A" w:rsidRDefault="00000000">
      <w:pPr>
        <w:adjustRightInd/>
        <w:spacing w:line="360" w:lineRule="auto"/>
        <w:jc w:val="center"/>
        <w:textAlignment w:val="auto"/>
        <w:rPr>
          <w:rFonts w:ascii="仿宋" w:eastAsia="仿宋" w:hAnsi="仿宋" w:cs="仿宋" w:hint="eastAsia"/>
          <w:b/>
          <w:bCs/>
          <w:kern w:val="2"/>
          <w:sz w:val="32"/>
          <w:szCs w:val="32"/>
        </w:rPr>
      </w:pPr>
      <w:r>
        <w:rPr>
          <w:rFonts w:ascii="仿宋" w:eastAsia="仿宋" w:hAnsi="仿宋" w:cs="仿宋" w:hint="eastAsia"/>
          <w:b/>
          <w:bCs/>
          <w:kern w:val="2"/>
          <w:sz w:val="32"/>
          <w:szCs w:val="32"/>
        </w:rPr>
        <w:t>合同名称：长三角一体化-新北泰兴跨江联动快速连接建设项目照明工程高架桥面单灯控制器采购项目</w:t>
      </w:r>
    </w:p>
    <w:p w14:paraId="4F8BCEFF"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签订地点：</w:t>
      </w:r>
      <w:r>
        <w:rPr>
          <w:rFonts w:ascii="Times New Roman" w:eastAsia="方正仿宋_GB2312" w:hAnsi="Times New Roman"/>
          <w:spacing w:val="10"/>
          <w:sz w:val="28"/>
          <w:szCs w:val="28"/>
        </w:rPr>
        <w:t>常州市新北区河海西路</w:t>
      </w:r>
      <w:r>
        <w:rPr>
          <w:rFonts w:ascii="Times New Roman" w:eastAsia="方正仿宋_GB2312" w:hAnsi="Times New Roman"/>
          <w:spacing w:val="10"/>
          <w:sz w:val="28"/>
          <w:szCs w:val="28"/>
        </w:rPr>
        <w:t>520</w:t>
      </w:r>
      <w:r>
        <w:rPr>
          <w:rFonts w:ascii="Times New Roman" w:eastAsia="方正仿宋_GB2312" w:hAnsi="Times New Roman"/>
          <w:spacing w:val="10"/>
          <w:sz w:val="28"/>
          <w:szCs w:val="28"/>
        </w:rPr>
        <w:t>号</w:t>
      </w:r>
    </w:p>
    <w:p w14:paraId="4190F0BE"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签订时间：</w:t>
      </w:r>
      <w:r>
        <w:rPr>
          <w:rFonts w:ascii="Times New Roman" w:eastAsia="方正仿宋_GB2312" w:hAnsi="Times New Roman" w:cs="Times New Roman"/>
          <w:spacing w:val="10"/>
          <w:sz w:val="28"/>
          <w:szCs w:val="28"/>
        </w:rPr>
        <w:t>202</w:t>
      </w:r>
      <w:r>
        <w:rPr>
          <w:rFonts w:ascii="Times New Roman" w:eastAsia="方正仿宋_GB2312" w:hAnsi="Times New Roman" w:cs="Times New Roman" w:hint="eastAsia"/>
          <w:spacing w:val="10"/>
          <w:sz w:val="28"/>
          <w:szCs w:val="28"/>
        </w:rPr>
        <w:t>5</w:t>
      </w:r>
      <w:r>
        <w:rPr>
          <w:rFonts w:ascii="Times New Roman" w:eastAsia="方正仿宋_GB2312" w:hAnsi="Times New Roman" w:cs="Times New Roman"/>
          <w:spacing w:val="10"/>
          <w:sz w:val="28"/>
          <w:szCs w:val="28"/>
        </w:rPr>
        <w:t>年</w:t>
      </w:r>
      <w:r>
        <w:rPr>
          <w:rFonts w:ascii="Times New Roman" w:eastAsia="方正仿宋_GB2312" w:hAnsi="Times New Roman" w:cs="Times New Roman" w:hint="eastAsia"/>
          <w:spacing w:val="10"/>
          <w:sz w:val="28"/>
          <w:szCs w:val="28"/>
        </w:rPr>
        <w:t xml:space="preserve"> </w:t>
      </w:r>
      <w:r>
        <w:rPr>
          <w:rFonts w:ascii="Times New Roman" w:eastAsia="方正仿宋_GB2312" w:hAnsi="Times New Roman" w:cs="Times New Roman"/>
          <w:spacing w:val="10"/>
          <w:sz w:val="28"/>
          <w:szCs w:val="28"/>
        </w:rPr>
        <w:t>月</w:t>
      </w:r>
      <w:r>
        <w:rPr>
          <w:rFonts w:ascii="Times New Roman" w:eastAsia="方正仿宋_GB2312" w:hAnsi="Times New Roman" w:cs="Times New Roman" w:hint="eastAsia"/>
          <w:spacing w:val="10"/>
          <w:sz w:val="28"/>
          <w:szCs w:val="28"/>
        </w:rPr>
        <w:t xml:space="preserve"> </w:t>
      </w:r>
      <w:r>
        <w:rPr>
          <w:rFonts w:ascii="Times New Roman" w:eastAsia="方正仿宋_GB2312" w:hAnsi="Times New Roman" w:cs="Times New Roman"/>
          <w:spacing w:val="10"/>
          <w:sz w:val="28"/>
          <w:szCs w:val="28"/>
        </w:rPr>
        <w:t>日</w:t>
      </w:r>
    </w:p>
    <w:p w14:paraId="70707646"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合同编号：</w:t>
      </w:r>
    </w:p>
    <w:p w14:paraId="25763FB0" w14:textId="77777777" w:rsidR="00A5429A" w:rsidRDefault="00000000">
      <w:pPr>
        <w:spacing w:line="420" w:lineRule="exact"/>
        <w:rPr>
          <w:rFonts w:ascii="Times New Roman" w:eastAsia="方正仿宋_GB2312" w:hAnsi="Times New Roman" w:cs="Times New Roman"/>
          <w:spacing w:val="10"/>
          <w:sz w:val="28"/>
          <w:szCs w:val="28"/>
          <w:u w:val="single"/>
        </w:rPr>
      </w:pPr>
      <w:r>
        <w:rPr>
          <w:rFonts w:ascii="Times New Roman" w:eastAsia="方正仿宋_GB2312" w:hAnsi="Times New Roman" w:cs="Times New Roman"/>
          <w:spacing w:val="10"/>
          <w:sz w:val="28"/>
          <w:szCs w:val="28"/>
        </w:rPr>
        <w:t>甲方：</w:t>
      </w:r>
      <w:r>
        <w:rPr>
          <w:rFonts w:ascii="Times New Roman" w:eastAsia="方正仿宋_GB2312" w:hAnsi="Times New Roman" w:cs="Times New Roman"/>
          <w:spacing w:val="10"/>
          <w:sz w:val="28"/>
          <w:szCs w:val="28"/>
          <w:u w:val="single"/>
        </w:rPr>
        <w:t>常州市城市照明工程有限公司</w:t>
      </w:r>
    </w:p>
    <w:p w14:paraId="4475F7E9"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乙方</w:t>
      </w:r>
      <w:r>
        <w:rPr>
          <w:rFonts w:ascii="Times New Roman" w:eastAsia="方正仿宋_GB2312" w:hAnsi="Times New Roman" w:cs="Times New Roman" w:hint="eastAsia"/>
          <w:spacing w:val="10"/>
          <w:sz w:val="28"/>
          <w:szCs w:val="28"/>
        </w:rPr>
        <w:t>：</w:t>
      </w:r>
      <w:r>
        <w:rPr>
          <w:rFonts w:ascii="Times New Roman" w:eastAsia="方正仿宋_GB2312" w:hAnsi="Times New Roman" w:cs="Times New Roman" w:hint="eastAsia"/>
          <w:spacing w:val="10"/>
          <w:sz w:val="28"/>
          <w:szCs w:val="28"/>
        </w:rPr>
        <w:t xml:space="preserve"> </w:t>
      </w:r>
    </w:p>
    <w:p w14:paraId="7CB48F97"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一、乙方按甲方要求，按照《中华人民共和国民法典》及相关法律法规的规定，结合本工程具体情况，双方达成如下协议。</w:t>
      </w:r>
    </w:p>
    <w:p w14:paraId="35F58DEA"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、工程名称：</w:t>
      </w:r>
      <w:r>
        <w:rPr>
          <w:rFonts w:ascii="Times New Roman" w:eastAsia="方正仿宋_GB2312" w:hAnsi="Times New Roman" w:cs="Times New Roman" w:hint="eastAsia"/>
          <w:spacing w:val="10"/>
          <w:sz w:val="28"/>
          <w:szCs w:val="28"/>
          <w:u w:val="single"/>
        </w:rPr>
        <w:t xml:space="preserve">           </w:t>
      </w:r>
    </w:p>
    <w:p w14:paraId="28521FCD"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、工程地点：</w:t>
      </w:r>
      <w:r>
        <w:rPr>
          <w:rFonts w:ascii="Times New Roman" w:eastAsia="方正仿宋_GB2312" w:hAnsi="Times New Roman" w:cs="Times New Roman"/>
          <w:spacing w:val="10"/>
          <w:sz w:val="28"/>
          <w:szCs w:val="28"/>
          <w:u w:val="single"/>
        </w:rPr>
        <w:t>常州</w:t>
      </w:r>
      <w:r>
        <w:rPr>
          <w:rFonts w:ascii="Times New Roman" w:eastAsia="方正仿宋_GB2312" w:hAnsi="Times New Roman" w:cs="Times New Roman"/>
          <w:spacing w:val="10"/>
          <w:sz w:val="28"/>
          <w:szCs w:val="28"/>
          <w:u w:val="single"/>
        </w:rPr>
        <w:t xml:space="preserve">     </w:t>
      </w:r>
    </w:p>
    <w:p w14:paraId="719AD47C" w14:textId="77777777" w:rsidR="00A5429A" w:rsidRDefault="00000000">
      <w:pPr>
        <w:spacing w:line="420" w:lineRule="exact"/>
        <w:rPr>
          <w:rFonts w:ascii="Times New Roman" w:eastAsia="方正仿宋_GB2312" w:hAnsi="Times New Roman" w:cs="Times New Roman"/>
          <w:spacing w:val="10"/>
          <w:sz w:val="28"/>
          <w:szCs w:val="28"/>
          <w:u w:val="single"/>
        </w:rPr>
      </w:pPr>
      <w:r>
        <w:rPr>
          <w:rFonts w:ascii="Times New Roman" w:eastAsia="方正仿宋_GB2312" w:hAnsi="Times New Roman" w:cs="Times New Roman"/>
          <w:spacing w:val="10"/>
          <w:sz w:val="28"/>
          <w:szCs w:val="28"/>
        </w:rPr>
        <w:t>3</w:t>
      </w:r>
      <w:r>
        <w:rPr>
          <w:rFonts w:ascii="Times New Roman" w:eastAsia="方正仿宋_GB2312" w:hAnsi="Times New Roman" w:cs="Times New Roman"/>
          <w:spacing w:val="10"/>
          <w:sz w:val="28"/>
          <w:szCs w:val="28"/>
        </w:rPr>
        <w:t>、承包范围：</w:t>
      </w:r>
      <w:r>
        <w:rPr>
          <w:rFonts w:ascii="Times New Roman" w:eastAsia="方正仿宋_GB2312" w:hAnsi="Times New Roman" w:cs="Times New Roman" w:hint="eastAsia"/>
          <w:spacing w:val="10"/>
          <w:sz w:val="28"/>
          <w:szCs w:val="28"/>
          <w:u w:val="single"/>
        </w:rPr>
        <w:t xml:space="preserve">           </w:t>
      </w:r>
    </w:p>
    <w:p w14:paraId="5BD69128" w14:textId="77777777" w:rsidR="00A5429A" w:rsidRDefault="00000000">
      <w:pPr>
        <w:spacing w:line="420" w:lineRule="exact"/>
        <w:rPr>
          <w:rFonts w:ascii="Times New Roman" w:eastAsia="方正仿宋_GB2312" w:hAnsi="Times New Roman" w:cs="Times New Roman"/>
          <w:spacing w:val="10"/>
          <w:sz w:val="28"/>
          <w:szCs w:val="28"/>
          <w:u w:val="single"/>
        </w:rPr>
      </w:pPr>
      <w:r>
        <w:rPr>
          <w:rFonts w:ascii="Times New Roman" w:eastAsia="方正仿宋_GB2312" w:hAnsi="Times New Roman" w:cs="Times New Roman"/>
          <w:spacing w:val="10"/>
          <w:sz w:val="28"/>
          <w:szCs w:val="28"/>
        </w:rPr>
        <w:t>4</w:t>
      </w:r>
      <w:r>
        <w:rPr>
          <w:rFonts w:ascii="Times New Roman" w:eastAsia="方正仿宋_GB2312" w:hAnsi="Times New Roman" w:cs="Times New Roman"/>
          <w:spacing w:val="10"/>
          <w:sz w:val="28"/>
          <w:szCs w:val="28"/>
        </w:rPr>
        <w:t>、合同价格：</w:t>
      </w:r>
      <w:r>
        <w:rPr>
          <w:rFonts w:ascii="Times New Roman" w:eastAsia="方正仿宋_GB2312" w:hAnsi="Times New Roman" w:cs="Times New Roman" w:hint="eastAsia"/>
          <w:spacing w:val="10"/>
          <w:sz w:val="28"/>
          <w:szCs w:val="28"/>
          <w:u w:val="single"/>
        </w:rPr>
        <w:t xml:space="preserve">       </w:t>
      </w:r>
      <w:r>
        <w:rPr>
          <w:rFonts w:ascii="Times New Roman" w:eastAsia="方正仿宋_GB2312" w:hAnsi="Times New Roman" w:cs="Times New Roman"/>
          <w:spacing w:val="10"/>
          <w:sz w:val="28"/>
          <w:szCs w:val="28"/>
          <w:u w:val="single"/>
        </w:rPr>
        <w:t>元</w:t>
      </w:r>
      <w:r>
        <w:rPr>
          <w:rFonts w:ascii="Times New Roman" w:eastAsia="方正仿宋_GB2312" w:hAnsi="Times New Roman" w:cs="Times New Roman"/>
          <w:spacing w:val="10"/>
          <w:sz w:val="28"/>
          <w:szCs w:val="28"/>
        </w:rPr>
        <w:t>（人民币大写：</w:t>
      </w:r>
      <w:r>
        <w:rPr>
          <w:rFonts w:ascii="Times New Roman" w:eastAsia="方正仿宋_GB2312" w:hAnsi="Times New Roman" w:cs="Times New Roman" w:hint="eastAsia"/>
          <w:spacing w:val="10"/>
          <w:sz w:val="28"/>
          <w:szCs w:val="28"/>
          <w:u w:val="single"/>
        </w:rPr>
        <w:t xml:space="preserve">       </w:t>
      </w:r>
      <w:r>
        <w:rPr>
          <w:rFonts w:ascii="Times New Roman" w:eastAsia="方正仿宋_GB2312" w:hAnsi="Times New Roman" w:cs="Times New Roman"/>
          <w:spacing w:val="10"/>
          <w:sz w:val="28"/>
          <w:szCs w:val="28"/>
          <w:u w:val="single"/>
        </w:rPr>
        <w:t>）（含</w:t>
      </w:r>
      <w:r>
        <w:rPr>
          <w:rFonts w:ascii="Times New Roman" w:eastAsia="方正仿宋_GB2312" w:hAnsi="Times New Roman" w:cs="Times New Roman" w:hint="eastAsia"/>
          <w:spacing w:val="10"/>
          <w:sz w:val="28"/>
          <w:szCs w:val="28"/>
          <w:u w:val="single"/>
        </w:rPr>
        <w:t>13</w:t>
      </w:r>
      <w:r>
        <w:rPr>
          <w:rFonts w:ascii="Times New Roman" w:eastAsia="方正仿宋_GB2312" w:hAnsi="Times New Roman" w:cs="Times New Roman"/>
          <w:spacing w:val="10"/>
          <w:sz w:val="28"/>
          <w:szCs w:val="28"/>
          <w:u w:val="single"/>
        </w:rPr>
        <w:t>%</w:t>
      </w:r>
      <w:r>
        <w:rPr>
          <w:rFonts w:ascii="Times New Roman" w:eastAsia="方正仿宋_GB2312" w:hAnsi="Times New Roman" w:cs="Times New Roman"/>
          <w:spacing w:val="10"/>
          <w:sz w:val="28"/>
          <w:szCs w:val="28"/>
          <w:u w:val="single"/>
        </w:rPr>
        <w:t>增值税）</w:t>
      </w:r>
    </w:p>
    <w:p w14:paraId="518B8BF7"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二、合同文件：</w:t>
      </w:r>
    </w:p>
    <w:p w14:paraId="718553CD"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下列材料</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spacing w:val="10"/>
          <w:sz w:val="28"/>
          <w:szCs w:val="28"/>
        </w:rPr>
        <w:t>是构成本合同不可分割的部分：</w:t>
      </w:r>
    </w:p>
    <w:p w14:paraId="22ECCDD8"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、本</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hint="eastAsia"/>
          <w:spacing w:val="10"/>
          <w:sz w:val="28"/>
          <w:szCs w:val="28"/>
          <w:u w:val="single"/>
        </w:rPr>
        <w:t xml:space="preserve">      </w:t>
      </w:r>
      <w:r>
        <w:rPr>
          <w:rFonts w:ascii="Times New Roman" w:eastAsia="方正仿宋_GB2312" w:hAnsi="Times New Roman" w:cs="Times New Roman"/>
          <w:spacing w:val="10"/>
          <w:sz w:val="28"/>
          <w:szCs w:val="28"/>
        </w:rPr>
        <w:t>及相关的</w:t>
      </w:r>
      <w:r>
        <w:rPr>
          <w:rFonts w:ascii="Times New Roman" w:eastAsia="方正仿宋_GB2312" w:hAnsi="Times New Roman" w:cs="Times New Roman" w:hint="eastAsia"/>
          <w:spacing w:val="10"/>
          <w:sz w:val="28"/>
          <w:szCs w:val="28"/>
        </w:rPr>
        <w:t>询价</w:t>
      </w:r>
      <w:r>
        <w:rPr>
          <w:rFonts w:ascii="Times New Roman" w:eastAsia="方正仿宋_GB2312" w:hAnsi="Times New Roman" w:cs="Times New Roman"/>
          <w:spacing w:val="10"/>
          <w:sz w:val="28"/>
          <w:szCs w:val="28"/>
        </w:rPr>
        <w:t>记录资料；</w:t>
      </w:r>
    </w:p>
    <w:p w14:paraId="71A1A05F"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、乙方提交的申报文件及相关资料；</w:t>
      </w:r>
    </w:p>
    <w:p w14:paraId="60925299"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3</w:t>
      </w:r>
      <w:r>
        <w:rPr>
          <w:rFonts w:ascii="Times New Roman" w:eastAsia="方正仿宋_GB2312" w:hAnsi="Times New Roman" w:cs="Times New Roman"/>
          <w:spacing w:val="10"/>
          <w:sz w:val="28"/>
          <w:szCs w:val="28"/>
        </w:rPr>
        <w:t>、经甲、乙方确认的补充协议及来往函件。</w:t>
      </w:r>
    </w:p>
    <w:p w14:paraId="68779B9C"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三、适用法律、标准及规范</w:t>
      </w:r>
    </w:p>
    <w:p w14:paraId="4F999C51" w14:textId="77777777" w:rsidR="00A5429A" w:rsidRDefault="00000000">
      <w:pPr>
        <w:spacing w:line="420" w:lineRule="exact"/>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本合同适用的标准和规范：现行国家有关标准、规范。</w:t>
      </w:r>
    </w:p>
    <w:p w14:paraId="530EB7CD"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四、合同价款：</w:t>
      </w:r>
    </w:p>
    <w:p w14:paraId="76AE0E48"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本合同总价款是指货物的设计、制造、包装、运输、装卸、人工、协调、乙方在验收合格前及保修期内货物所发生的维修费、伴随服务及售后服务费用、应交纳的各项税款（关税、增值税及其它税费）。</w:t>
      </w:r>
    </w:p>
    <w:p w14:paraId="0E66E60E"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五、质量保证：</w:t>
      </w:r>
    </w:p>
    <w:p w14:paraId="1C947158"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、乙方严格按照</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spacing w:val="10"/>
          <w:sz w:val="28"/>
          <w:szCs w:val="28"/>
        </w:rPr>
        <w:t>及</w:t>
      </w:r>
      <w:r>
        <w:rPr>
          <w:rFonts w:ascii="Times New Roman" w:eastAsia="方正仿宋_GB2312" w:hAnsi="Times New Roman" w:cs="Times New Roman" w:hint="eastAsia"/>
          <w:spacing w:val="10"/>
          <w:sz w:val="28"/>
          <w:szCs w:val="28"/>
        </w:rPr>
        <w:t>询价</w:t>
      </w:r>
      <w:r>
        <w:rPr>
          <w:rFonts w:ascii="Times New Roman" w:eastAsia="方正仿宋_GB2312" w:hAnsi="Times New Roman" w:cs="Times New Roman"/>
          <w:spacing w:val="10"/>
          <w:sz w:val="28"/>
          <w:szCs w:val="28"/>
        </w:rPr>
        <w:t>达成的协议进行货物的采购及检验，并对其质量负责。</w:t>
      </w:r>
    </w:p>
    <w:p w14:paraId="05CCF0AC"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、乙方负责提供的材料，其品牌、型号、规格等必须与</w:t>
      </w:r>
      <w:r>
        <w:rPr>
          <w:rFonts w:ascii="Times New Roman" w:eastAsia="方正仿宋_GB2312" w:hAnsi="Times New Roman" w:cs="Times New Roman" w:hint="eastAsia"/>
          <w:spacing w:val="10"/>
          <w:sz w:val="28"/>
          <w:szCs w:val="28"/>
        </w:rPr>
        <w:t>询价报价</w:t>
      </w:r>
      <w:r>
        <w:rPr>
          <w:rFonts w:ascii="Times New Roman" w:eastAsia="方正仿宋_GB2312" w:hAnsi="Times New Roman" w:cs="Times New Roman"/>
          <w:spacing w:val="10"/>
          <w:sz w:val="28"/>
          <w:szCs w:val="28"/>
        </w:rPr>
        <w:t>单一致，并提供产品说明书，相关检测证明及相关参数、要求，不得以次充好。</w:t>
      </w:r>
    </w:p>
    <w:p w14:paraId="2239B6B3"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lastRenderedPageBreak/>
        <w:t>3</w:t>
      </w:r>
      <w:r>
        <w:rPr>
          <w:rFonts w:ascii="Times New Roman" w:eastAsia="方正仿宋_GB2312" w:hAnsi="Times New Roman" w:cs="Times New Roman"/>
          <w:spacing w:val="10"/>
          <w:sz w:val="28"/>
          <w:szCs w:val="28"/>
        </w:rPr>
        <w:t>、乙方提供的货物在送到甲方指定地点时，按本</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spacing w:val="10"/>
          <w:sz w:val="28"/>
          <w:szCs w:val="28"/>
        </w:rPr>
        <w:t>要求，甲方有权根据标准、规范要求按批次进行现场取样检验，由具备国家检测资质的单位根据要求进行检测，如检测不合格，甲方有权终止合同。</w:t>
      </w:r>
    </w:p>
    <w:p w14:paraId="1B22BE0E"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4</w:t>
      </w:r>
      <w:r>
        <w:rPr>
          <w:rFonts w:ascii="Times New Roman" w:eastAsia="方正仿宋_GB2312" w:hAnsi="Times New Roman" w:cs="Times New Roman"/>
          <w:spacing w:val="10"/>
          <w:sz w:val="28"/>
          <w:szCs w:val="28"/>
        </w:rPr>
        <w:t>、质保期内，出现单灯控制器质量问题的，由乙方无条件更换，提供质量合格的</w:t>
      </w:r>
      <w:r>
        <w:rPr>
          <w:rFonts w:ascii="Times New Roman" w:eastAsia="方正仿宋_GB2312" w:hAnsi="Times New Roman" w:cs="Times New Roman" w:hint="eastAsia"/>
          <w:spacing w:val="10"/>
          <w:sz w:val="28"/>
          <w:szCs w:val="28"/>
        </w:rPr>
        <w:t>控制器</w:t>
      </w:r>
      <w:r>
        <w:rPr>
          <w:rFonts w:ascii="Times New Roman" w:eastAsia="方正仿宋_GB2312" w:hAnsi="Times New Roman" w:cs="Times New Roman"/>
          <w:spacing w:val="10"/>
          <w:sz w:val="28"/>
          <w:szCs w:val="28"/>
        </w:rPr>
        <w:t>并承担相关维修费用（含拆卸、安装全部费用</w:t>
      </w:r>
      <w:r>
        <w:rPr>
          <w:rFonts w:ascii="Times New Roman" w:eastAsia="方正仿宋_GB2312" w:hAnsi="Times New Roman" w:cs="Times New Roman" w:hint="eastAsia"/>
          <w:spacing w:val="10"/>
          <w:sz w:val="28"/>
          <w:szCs w:val="28"/>
        </w:rPr>
        <w:t>3</w:t>
      </w:r>
      <w:r>
        <w:rPr>
          <w:rFonts w:ascii="Times New Roman" w:eastAsia="方正仿宋_GB2312" w:hAnsi="Times New Roman" w:cs="Times New Roman"/>
          <w:spacing w:val="10"/>
          <w:sz w:val="28"/>
          <w:szCs w:val="28"/>
        </w:rPr>
        <w:t>00</w:t>
      </w:r>
      <w:r>
        <w:rPr>
          <w:rFonts w:ascii="Times New Roman" w:eastAsia="方正仿宋_GB2312" w:hAnsi="Times New Roman" w:cs="Times New Roman"/>
          <w:spacing w:val="10"/>
          <w:sz w:val="28"/>
          <w:szCs w:val="28"/>
        </w:rPr>
        <w:t>元</w:t>
      </w:r>
      <w:r>
        <w:rPr>
          <w:rFonts w:ascii="Times New Roman" w:eastAsia="方正仿宋_GB2312" w:hAnsi="Times New Roman" w:cs="Times New Roman"/>
          <w:spacing w:val="10"/>
          <w:sz w:val="28"/>
          <w:szCs w:val="28"/>
        </w:rPr>
        <w:t>/</w:t>
      </w:r>
      <w:r>
        <w:rPr>
          <w:rFonts w:ascii="Times New Roman" w:eastAsia="方正仿宋_GB2312" w:hAnsi="Times New Roman" w:cs="Times New Roman"/>
          <w:spacing w:val="10"/>
          <w:sz w:val="28"/>
          <w:szCs w:val="28"/>
        </w:rPr>
        <w:t>套），乙方应提供充足的备品备件，且不得低于每笔订单同款</w:t>
      </w:r>
      <w:r>
        <w:rPr>
          <w:rFonts w:ascii="Times New Roman" w:eastAsia="方正仿宋_GB2312" w:hAnsi="Times New Roman" w:cs="Times New Roman" w:hint="eastAsia"/>
          <w:spacing w:val="10"/>
          <w:sz w:val="28"/>
          <w:szCs w:val="28"/>
        </w:rPr>
        <w:t>控制器</w:t>
      </w:r>
      <w:r>
        <w:rPr>
          <w:rFonts w:ascii="Times New Roman" w:eastAsia="方正仿宋_GB2312" w:hAnsi="Times New Roman" w:cs="Times New Roman"/>
          <w:spacing w:val="10"/>
          <w:sz w:val="28"/>
          <w:szCs w:val="28"/>
        </w:rPr>
        <w:t>总量的</w:t>
      </w: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，必须在接到甲方通知</w:t>
      </w:r>
      <w:r>
        <w:rPr>
          <w:rFonts w:ascii="Times New Roman" w:eastAsia="方正仿宋_GB2312" w:hAnsi="Times New Roman" w:cs="Times New Roman"/>
          <w:spacing w:val="10"/>
          <w:sz w:val="28"/>
          <w:szCs w:val="28"/>
        </w:rPr>
        <w:t>12</w:t>
      </w:r>
      <w:r>
        <w:rPr>
          <w:rFonts w:ascii="Times New Roman" w:eastAsia="方正仿宋_GB2312" w:hAnsi="Times New Roman" w:cs="Times New Roman"/>
          <w:spacing w:val="10"/>
          <w:sz w:val="28"/>
          <w:szCs w:val="28"/>
        </w:rPr>
        <w:t>小时内响应、</w:t>
      </w:r>
      <w:r>
        <w:rPr>
          <w:rFonts w:ascii="Times New Roman" w:eastAsia="方正仿宋_GB2312" w:hAnsi="Times New Roman" w:cs="Times New Roman"/>
          <w:spacing w:val="10"/>
          <w:sz w:val="28"/>
          <w:szCs w:val="28"/>
        </w:rPr>
        <w:t>48</w:t>
      </w:r>
      <w:r>
        <w:rPr>
          <w:rFonts w:ascii="Times New Roman" w:eastAsia="方正仿宋_GB2312" w:hAnsi="Times New Roman" w:cs="Times New Roman"/>
          <w:spacing w:val="10"/>
          <w:sz w:val="28"/>
          <w:szCs w:val="28"/>
        </w:rPr>
        <w:t>小时内送至甲方指定地点。乙方未按前述期限内完成的，甲方有权另行采购、维修，相关费用（产品采购费用、更换维修费用）由乙方承担，并有权直接从剩余应付货款、质保金中扣除。</w:t>
      </w:r>
    </w:p>
    <w:p w14:paraId="1EE1EE70"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质保期内，损坏率超过合同供货总量的</w:t>
      </w: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的或供货阶段质量问题货物总量超过已下单订单总量的</w:t>
      </w: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w:t>
      </w:r>
      <w:r>
        <w:rPr>
          <w:rFonts w:ascii="Times New Roman" w:eastAsia="方正仿宋_GB2312" w:hAnsi="Times New Roman" w:cs="Times New Roman" w:hint="eastAsia"/>
          <w:spacing w:val="10"/>
          <w:sz w:val="28"/>
          <w:szCs w:val="28"/>
        </w:rPr>
        <w:t>甲方</w:t>
      </w:r>
      <w:r>
        <w:rPr>
          <w:rFonts w:ascii="Times New Roman" w:eastAsia="方正仿宋_GB2312" w:hAnsi="Times New Roman" w:cs="Times New Roman"/>
          <w:spacing w:val="10"/>
          <w:sz w:val="28"/>
          <w:szCs w:val="28"/>
        </w:rPr>
        <w:t>有权就超出部分的质量问题货物向</w:t>
      </w:r>
      <w:r>
        <w:rPr>
          <w:rFonts w:ascii="Times New Roman" w:eastAsia="方正仿宋_GB2312" w:hAnsi="Times New Roman" w:cs="Times New Roman" w:hint="eastAsia"/>
          <w:spacing w:val="10"/>
          <w:sz w:val="28"/>
          <w:szCs w:val="28"/>
        </w:rPr>
        <w:t>乙方</w:t>
      </w:r>
      <w:r>
        <w:rPr>
          <w:rFonts w:ascii="Times New Roman" w:eastAsia="方正仿宋_GB2312" w:hAnsi="Times New Roman" w:cs="Times New Roman"/>
          <w:spacing w:val="10"/>
          <w:sz w:val="28"/>
          <w:szCs w:val="28"/>
        </w:rPr>
        <w:t>主张退款退货并要求</w:t>
      </w:r>
      <w:r>
        <w:rPr>
          <w:rFonts w:ascii="Times New Roman" w:eastAsia="方正仿宋_GB2312" w:hAnsi="Times New Roman" w:cs="Times New Roman" w:hint="eastAsia"/>
          <w:spacing w:val="10"/>
          <w:sz w:val="28"/>
          <w:szCs w:val="28"/>
        </w:rPr>
        <w:t>乙方</w:t>
      </w:r>
      <w:r>
        <w:rPr>
          <w:rFonts w:ascii="Times New Roman" w:eastAsia="方正仿宋_GB2312" w:hAnsi="Times New Roman" w:cs="Times New Roman"/>
          <w:spacing w:val="10"/>
          <w:sz w:val="28"/>
          <w:szCs w:val="28"/>
        </w:rPr>
        <w:t>承担该</w:t>
      </w:r>
      <w:r>
        <w:rPr>
          <w:rFonts w:ascii="Times New Roman" w:eastAsia="方正仿宋_GB2312" w:hAnsi="Times New Roman" w:cs="Times New Roman" w:hint="eastAsia"/>
          <w:spacing w:val="10"/>
          <w:sz w:val="28"/>
          <w:szCs w:val="28"/>
        </w:rPr>
        <w:t>批</w:t>
      </w:r>
      <w:r>
        <w:rPr>
          <w:rFonts w:ascii="Times New Roman" w:eastAsia="方正仿宋_GB2312" w:hAnsi="Times New Roman" w:cs="Times New Roman"/>
          <w:spacing w:val="10"/>
          <w:sz w:val="28"/>
          <w:szCs w:val="28"/>
        </w:rPr>
        <w:t>质量问题货物采购价款总和的</w:t>
      </w: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倍作为违约金，供货阶段质量问题货物总量超过已下单订单总量的</w:t>
      </w: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w:t>
      </w:r>
      <w:r>
        <w:rPr>
          <w:rFonts w:ascii="Times New Roman" w:eastAsia="方正仿宋_GB2312" w:hAnsi="Times New Roman" w:cs="Times New Roman" w:hint="eastAsia"/>
          <w:spacing w:val="10"/>
          <w:sz w:val="28"/>
          <w:szCs w:val="28"/>
        </w:rPr>
        <w:t>甲方</w:t>
      </w:r>
      <w:r>
        <w:rPr>
          <w:rFonts w:ascii="Times New Roman" w:eastAsia="方正仿宋_GB2312" w:hAnsi="Times New Roman" w:cs="Times New Roman"/>
          <w:spacing w:val="10"/>
          <w:sz w:val="28"/>
          <w:szCs w:val="28"/>
        </w:rPr>
        <w:t>有权就未交货的部分解除买卖合同关系，</w:t>
      </w:r>
      <w:r>
        <w:rPr>
          <w:rFonts w:ascii="Times New Roman" w:eastAsia="方正仿宋_GB2312" w:hAnsi="Times New Roman" w:cs="Times New Roman" w:hint="eastAsia"/>
          <w:spacing w:val="10"/>
          <w:sz w:val="28"/>
          <w:szCs w:val="28"/>
        </w:rPr>
        <w:t>甲方</w:t>
      </w:r>
      <w:r>
        <w:rPr>
          <w:rFonts w:ascii="Times New Roman" w:eastAsia="方正仿宋_GB2312" w:hAnsi="Times New Roman" w:cs="Times New Roman"/>
          <w:spacing w:val="10"/>
          <w:sz w:val="28"/>
          <w:szCs w:val="28"/>
        </w:rPr>
        <w:t>解除合同的通知将以邮寄形式邮寄到</w:t>
      </w:r>
      <w:r>
        <w:rPr>
          <w:rFonts w:ascii="Times New Roman" w:eastAsia="方正仿宋_GB2312" w:hAnsi="Times New Roman" w:cs="Times New Roman" w:hint="eastAsia"/>
          <w:spacing w:val="10"/>
          <w:sz w:val="28"/>
          <w:szCs w:val="28"/>
        </w:rPr>
        <w:t>乙方</w:t>
      </w:r>
      <w:r>
        <w:rPr>
          <w:rFonts w:ascii="Times New Roman" w:eastAsia="方正仿宋_GB2312" w:hAnsi="Times New Roman" w:cs="Times New Roman"/>
          <w:spacing w:val="10"/>
          <w:sz w:val="28"/>
          <w:szCs w:val="28"/>
        </w:rPr>
        <w:t>所在地，时间从到达</w:t>
      </w:r>
      <w:r>
        <w:rPr>
          <w:rFonts w:ascii="Times New Roman" w:eastAsia="方正仿宋_GB2312" w:hAnsi="Times New Roman" w:cs="Times New Roman" w:hint="eastAsia"/>
          <w:spacing w:val="10"/>
          <w:sz w:val="28"/>
          <w:szCs w:val="28"/>
        </w:rPr>
        <w:t>乙方</w:t>
      </w:r>
      <w:r>
        <w:rPr>
          <w:rFonts w:ascii="Times New Roman" w:eastAsia="方正仿宋_GB2312" w:hAnsi="Times New Roman" w:cs="Times New Roman"/>
          <w:spacing w:val="10"/>
          <w:sz w:val="28"/>
          <w:szCs w:val="28"/>
        </w:rPr>
        <w:t>时生效，并有权要求</w:t>
      </w:r>
      <w:r>
        <w:rPr>
          <w:rFonts w:ascii="Times New Roman" w:eastAsia="方正仿宋_GB2312" w:hAnsi="Times New Roman" w:cs="Times New Roman" w:hint="eastAsia"/>
          <w:spacing w:val="10"/>
          <w:sz w:val="28"/>
          <w:szCs w:val="28"/>
        </w:rPr>
        <w:t>乙方</w:t>
      </w:r>
      <w:r>
        <w:rPr>
          <w:rFonts w:ascii="Times New Roman" w:eastAsia="方正仿宋_GB2312" w:hAnsi="Times New Roman" w:cs="Times New Roman"/>
          <w:spacing w:val="10"/>
          <w:sz w:val="28"/>
          <w:szCs w:val="28"/>
        </w:rPr>
        <w:t>承担合同金额的</w:t>
      </w:r>
      <w:r>
        <w:rPr>
          <w:rFonts w:ascii="Times New Roman" w:eastAsia="方正仿宋_GB2312" w:hAnsi="Times New Roman" w:cs="Times New Roman"/>
          <w:spacing w:val="10"/>
          <w:sz w:val="28"/>
          <w:szCs w:val="28"/>
        </w:rPr>
        <w:t>20%</w:t>
      </w:r>
      <w:r>
        <w:rPr>
          <w:rFonts w:ascii="Times New Roman" w:eastAsia="方正仿宋_GB2312" w:hAnsi="Times New Roman" w:cs="Times New Roman"/>
          <w:spacing w:val="10"/>
          <w:sz w:val="28"/>
          <w:szCs w:val="28"/>
        </w:rPr>
        <w:t>的违约金，该等违约金有权在任何一期应付款中相应扣除。双方确认前述违约金系在影响工期、重新采购招标，给</w:t>
      </w:r>
      <w:r>
        <w:rPr>
          <w:rFonts w:ascii="Times New Roman" w:eastAsia="方正仿宋_GB2312" w:hAnsi="Times New Roman" w:cs="Times New Roman" w:hint="eastAsia"/>
          <w:spacing w:val="10"/>
          <w:sz w:val="28"/>
          <w:szCs w:val="28"/>
        </w:rPr>
        <w:t>甲方</w:t>
      </w:r>
      <w:r>
        <w:rPr>
          <w:rFonts w:ascii="Times New Roman" w:eastAsia="方正仿宋_GB2312" w:hAnsi="Times New Roman" w:cs="Times New Roman"/>
          <w:spacing w:val="10"/>
          <w:sz w:val="28"/>
          <w:szCs w:val="28"/>
        </w:rPr>
        <w:t>造成直接、间接损失的情况下确定的数额，不存在过高情形。</w:t>
      </w:r>
    </w:p>
    <w:p w14:paraId="5C84FFE0"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六、供货期：</w:t>
      </w:r>
    </w:p>
    <w:p w14:paraId="75590F43"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w:t>
      </w:r>
      <w:r>
        <w:rPr>
          <w:rFonts w:ascii="Times New Roman" w:eastAsia="方正仿宋_GB2312" w:hAnsi="Times New Roman" w:cs="Times New Roman" w:hint="eastAsia"/>
          <w:spacing w:val="10"/>
          <w:sz w:val="28"/>
          <w:szCs w:val="28"/>
        </w:rPr>
        <w:t>乙方成交后应立即组织生产，实际送货时间根据现场进度安排，中标后</w:t>
      </w:r>
      <w:r>
        <w:rPr>
          <w:rFonts w:ascii="Times New Roman" w:eastAsia="方正仿宋_GB2312" w:hAnsi="Times New Roman" w:cs="Times New Roman" w:hint="eastAsia"/>
          <w:spacing w:val="10"/>
          <w:sz w:val="28"/>
          <w:szCs w:val="28"/>
        </w:rPr>
        <w:t>10</w:t>
      </w:r>
      <w:r>
        <w:rPr>
          <w:rFonts w:ascii="Times New Roman" w:eastAsia="方正仿宋_GB2312" w:hAnsi="Times New Roman" w:cs="Times New Roman" w:hint="eastAsia"/>
          <w:spacing w:val="10"/>
          <w:sz w:val="28"/>
          <w:szCs w:val="28"/>
        </w:rPr>
        <w:t>日内完成样品测试，下订单后</w:t>
      </w:r>
      <w:r>
        <w:rPr>
          <w:rFonts w:ascii="Times New Roman" w:eastAsia="方正仿宋_GB2312" w:hAnsi="Times New Roman" w:cs="Times New Roman" w:hint="eastAsia"/>
          <w:spacing w:val="10"/>
          <w:sz w:val="28"/>
          <w:szCs w:val="28"/>
        </w:rPr>
        <w:t>20</w:t>
      </w:r>
      <w:r>
        <w:rPr>
          <w:rFonts w:ascii="Times New Roman" w:eastAsia="方正仿宋_GB2312" w:hAnsi="Times New Roman" w:cs="Times New Roman" w:hint="eastAsia"/>
          <w:spacing w:val="10"/>
          <w:sz w:val="28"/>
          <w:szCs w:val="28"/>
        </w:rPr>
        <w:t>日内供货完成。</w:t>
      </w:r>
    </w:p>
    <w:p w14:paraId="74AB63D7" w14:textId="77777777" w:rsidR="00A5429A" w:rsidRDefault="00000000">
      <w:pPr>
        <w:spacing w:line="420" w:lineRule="exact"/>
        <w:ind w:firstLineChars="200" w:firstLine="600"/>
        <w:rPr>
          <w:rFonts w:ascii="仿宋" w:eastAsia="仿宋" w:hAnsi="仿宋" w:cs="Times New Roman" w:hint="eastAsia"/>
          <w:snapToGrid w:val="0"/>
          <w:sz w:val="28"/>
          <w:szCs w:val="28"/>
        </w:rPr>
      </w:pPr>
      <w:r>
        <w:rPr>
          <w:rFonts w:ascii="仿宋" w:eastAsia="仿宋" w:hAnsi="仿宋" w:cs="Times New Roman"/>
          <w:spacing w:val="10"/>
          <w:sz w:val="28"/>
          <w:szCs w:val="28"/>
        </w:rPr>
        <w:t>2、</w:t>
      </w:r>
      <w:r>
        <w:rPr>
          <w:rFonts w:ascii="仿宋" w:eastAsia="仿宋" w:hAnsi="仿宋" w:cs="Times New Roman" w:hint="eastAsia"/>
          <w:snapToGrid w:val="0"/>
          <w:sz w:val="28"/>
          <w:szCs w:val="28"/>
        </w:rPr>
        <w:t>成交供应商应在采购人规定的交货期内将全部货物运至采购人指定地点。产品质量应达到采购人要求，不合格产品或不一致产品不予验收、</w:t>
      </w:r>
      <w:proofErr w:type="gramStart"/>
      <w:r>
        <w:rPr>
          <w:rFonts w:ascii="仿宋" w:eastAsia="仿宋" w:hAnsi="仿宋" w:cs="Times New Roman" w:hint="eastAsia"/>
          <w:snapToGrid w:val="0"/>
          <w:sz w:val="28"/>
          <w:szCs w:val="28"/>
        </w:rPr>
        <w:t>不予付款</w:t>
      </w:r>
      <w:proofErr w:type="gramEnd"/>
      <w:r>
        <w:rPr>
          <w:rFonts w:ascii="仿宋" w:eastAsia="仿宋" w:hAnsi="仿宋" w:cs="Times New Roman" w:hint="eastAsia"/>
          <w:snapToGrid w:val="0"/>
          <w:sz w:val="28"/>
          <w:szCs w:val="28"/>
        </w:rPr>
        <w:t>，由此造成的损失完全</w:t>
      </w:r>
      <w:proofErr w:type="gramStart"/>
      <w:r>
        <w:rPr>
          <w:rFonts w:ascii="仿宋" w:eastAsia="仿宋" w:hAnsi="仿宋" w:cs="Times New Roman" w:hint="eastAsia"/>
          <w:snapToGrid w:val="0"/>
          <w:sz w:val="28"/>
          <w:szCs w:val="28"/>
        </w:rPr>
        <w:t>由成交</w:t>
      </w:r>
      <w:proofErr w:type="gramEnd"/>
      <w:r>
        <w:rPr>
          <w:rFonts w:ascii="仿宋" w:eastAsia="仿宋" w:hAnsi="仿宋" w:cs="Times New Roman" w:hint="eastAsia"/>
          <w:snapToGrid w:val="0"/>
          <w:sz w:val="28"/>
          <w:szCs w:val="28"/>
        </w:rPr>
        <w:t>供应商承担。因成交供应商原因造成的延期交货或延期交工，每</w:t>
      </w:r>
      <w:r>
        <w:rPr>
          <w:rFonts w:ascii="仿宋" w:eastAsia="仿宋" w:hAnsi="仿宋" w:cs="宋体" w:hint="eastAsia"/>
          <w:snapToGrid w:val="0"/>
          <w:sz w:val="28"/>
          <w:szCs w:val="28"/>
        </w:rPr>
        <w:t>拖</w:t>
      </w:r>
      <w:r>
        <w:rPr>
          <w:rFonts w:ascii="仿宋" w:eastAsia="仿宋" w:hAnsi="仿宋" w:cs="___WRD_EMBED_SUB_43" w:hint="eastAsia"/>
          <w:snapToGrid w:val="0"/>
          <w:sz w:val="28"/>
          <w:szCs w:val="28"/>
        </w:rPr>
        <w:t>后一天按合同价的</w:t>
      </w:r>
      <w:r>
        <w:rPr>
          <w:rFonts w:ascii="仿宋" w:eastAsia="仿宋" w:hAnsi="仿宋" w:cs="Times New Roman" w:hint="eastAsia"/>
          <w:snapToGrid w:val="0"/>
          <w:sz w:val="28"/>
          <w:szCs w:val="28"/>
        </w:rPr>
        <w:t>1%支付违约金。</w:t>
      </w:r>
    </w:p>
    <w:p w14:paraId="6E221B86"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七、验收：</w:t>
      </w:r>
    </w:p>
    <w:p w14:paraId="2D86DD97"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1</w:t>
      </w: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snapToGrid w:val="0"/>
          <w:sz w:val="28"/>
          <w:szCs w:val="28"/>
        </w:rPr>
        <w:t>供需双方共同将依据有关规定，对货物进行验收，并签字确</w:t>
      </w:r>
      <w:r>
        <w:rPr>
          <w:rFonts w:ascii="Times New Roman" w:eastAsia="方正仿宋_GB2312" w:hAnsi="Times New Roman" w:cs="Times New Roman"/>
          <w:snapToGrid w:val="0"/>
          <w:sz w:val="28"/>
          <w:szCs w:val="28"/>
        </w:rPr>
        <w:lastRenderedPageBreak/>
        <w:t>认。</w:t>
      </w:r>
    </w:p>
    <w:p w14:paraId="29EFB1B7"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2</w:t>
      </w:r>
      <w:r>
        <w:rPr>
          <w:rFonts w:ascii="Times New Roman" w:eastAsia="方正仿宋_GB2312" w:hAnsi="Times New Roman" w:cs="Times New Roman" w:hint="eastAsia"/>
          <w:snapToGrid w:val="0"/>
          <w:sz w:val="28"/>
          <w:szCs w:val="28"/>
        </w:rPr>
        <w:t>、乙方送货后，对乙方确定的单灯控制器将随机进行一次抽样检测，由甲方送至国家级相关检测机构进行检测，无论合格与否，检测费用由甲方承担。除固定一次的抽检外，甲方有权随时抽检，检测费用由甲方负责，甲方有权另行采购合格产品或解除合同，工期不顺延，并由乙方承担由此造成的检测费用及其他一切损失。抽检结果必须满足技术文件相关指标要求。</w:t>
      </w:r>
    </w:p>
    <w:p w14:paraId="6B81745F"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3</w:t>
      </w: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snapToGrid w:val="0"/>
          <w:sz w:val="28"/>
          <w:szCs w:val="28"/>
        </w:rPr>
        <w:t>乙方在项目成交后应立即组织生产所需的各项材料，以保证按照甲方要求及时供货，甲方将不定期到厂商检查产品供货情况及质量情况。</w:t>
      </w:r>
    </w:p>
    <w:p w14:paraId="605A57DF"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4</w:t>
      </w: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snapToGrid w:val="0"/>
          <w:sz w:val="28"/>
          <w:szCs w:val="28"/>
        </w:rPr>
        <w:t>乙方如在甲方规定的时间内未及时交出货物，甲方将根据实际情况扣除相应的</w:t>
      </w:r>
      <w:r>
        <w:rPr>
          <w:rFonts w:ascii="Times New Roman" w:eastAsia="方正仿宋_GB2312" w:hAnsi="Times New Roman" w:cs="Times New Roman" w:hint="eastAsia"/>
          <w:snapToGrid w:val="0"/>
          <w:sz w:val="28"/>
          <w:szCs w:val="28"/>
        </w:rPr>
        <w:t>货款</w:t>
      </w:r>
      <w:r>
        <w:rPr>
          <w:rFonts w:ascii="Times New Roman" w:eastAsia="方正仿宋_GB2312" w:hAnsi="Times New Roman" w:cs="Times New Roman"/>
          <w:snapToGrid w:val="0"/>
          <w:sz w:val="28"/>
          <w:szCs w:val="28"/>
        </w:rPr>
        <w:t>。</w:t>
      </w:r>
    </w:p>
    <w:p w14:paraId="04E9ED7E"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5</w:t>
      </w: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snapToGrid w:val="0"/>
          <w:sz w:val="28"/>
          <w:szCs w:val="28"/>
        </w:rPr>
        <w:t>验收资料</w:t>
      </w:r>
      <w:r>
        <w:rPr>
          <w:rFonts w:ascii="Times New Roman" w:eastAsia="方正仿宋_GB2312" w:hAnsi="Times New Roman" w:cs="Times New Roman"/>
          <w:snapToGrid w:val="0"/>
          <w:sz w:val="28"/>
          <w:szCs w:val="28"/>
        </w:rPr>
        <w:t>:</w:t>
      </w:r>
      <w:r>
        <w:rPr>
          <w:rFonts w:ascii="Times New Roman" w:eastAsia="方正仿宋_GB2312" w:hAnsi="Times New Roman" w:cs="Times New Roman" w:hint="eastAsia"/>
          <w:snapToGrid w:val="0"/>
          <w:sz w:val="28"/>
          <w:szCs w:val="28"/>
        </w:rPr>
        <w:t>询价文件</w:t>
      </w:r>
      <w:r>
        <w:rPr>
          <w:rFonts w:ascii="Times New Roman" w:eastAsia="方正仿宋_GB2312" w:hAnsi="Times New Roman" w:cs="Times New Roman"/>
          <w:snapToGrid w:val="0"/>
          <w:sz w:val="28"/>
          <w:szCs w:val="28"/>
        </w:rPr>
        <w:t>中提及的相关证明材料和检测报告需在供货前将原件提交甲方处核准。</w:t>
      </w:r>
    </w:p>
    <w:p w14:paraId="1D48A855" w14:textId="77777777" w:rsidR="00A5429A" w:rsidRDefault="00000000">
      <w:pPr>
        <w:spacing w:line="420" w:lineRule="exact"/>
        <w:ind w:firstLineChars="200" w:firstLine="600"/>
        <w:rPr>
          <w:rFonts w:ascii="Times New Roman" w:eastAsia="方正仿宋_GB2312" w:hAnsi="Times New Roman" w:cs="Times New Roman"/>
          <w:snapToGrid w:val="0"/>
          <w:sz w:val="28"/>
          <w:szCs w:val="28"/>
        </w:rPr>
      </w:pPr>
      <w:r>
        <w:rPr>
          <w:rFonts w:ascii="Times New Roman" w:eastAsia="方正仿宋_GB2312" w:hAnsi="Times New Roman" w:cs="Times New Roman"/>
          <w:spacing w:val="10"/>
          <w:sz w:val="28"/>
          <w:szCs w:val="28"/>
        </w:rPr>
        <w:t>八、结算及付款期限：</w:t>
      </w:r>
    </w:p>
    <w:p w14:paraId="076E8924" w14:textId="77777777" w:rsidR="00A5429A" w:rsidRDefault="00000000">
      <w:pPr>
        <w:spacing w:line="42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1</w:t>
      </w:r>
      <w:r>
        <w:rPr>
          <w:rFonts w:ascii="Times New Roman" w:eastAsia="方正仿宋_GB2312" w:hAnsi="Times New Roman" w:cs="Times New Roman"/>
          <w:spacing w:val="10"/>
          <w:sz w:val="28"/>
          <w:szCs w:val="28"/>
        </w:rPr>
        <w:t>、在合同约定的供货期内，除本合同及</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spacing w:val="10"/>
          <w:sz w:val="28"/>
          <w:szCs w:val="28"/>
        </w:rPr>
        <w:t>中另有约定予以调整外，材料单价不得调整。</w:t>
      </w:r>
    </w:p>
    <w:p w14:paraId="368FEFC3" w14:textId="77777777" w:rsidR="00A5429A" w:rsidRDefault="00000000">
      <w:pPr>
        <w:spacing w:line="38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2</w:t>
      </w:r>
      <w:r>
        <w:rPr>
          <w:rFonts w:ascii="Times New Roman" w:eastAsia="方正仿宋_GB2312" w:hAnsi="Times New Roman" w:cs="Times New Roman"/>
          <w:spacing w:val="10"/>
          <w:sz w:val="28"/>
          <w:szCs w:val="28"/>
        </w:rPr>
        <w:t>、</w:t>
      </w:r>
      <w:r>
        <w:rPr>
          <w:rFonts w:ascii="Times New Roman" w:eastAsia="方正仿宋_GB2312" w:hAnsi="Times New Roman" w:cs="Times New Roman" w:hint="eastAsia"/>
          <w:spacing w:val="10"/>
          <w:sz w:val="28"/>
          <w:szCs w:val="28"/>
        </w:rPr>
        <w:t>询价文件</w:t>
      </w:r>
      <w:r>
        <w:rPr>
          <w:rFonts w:ascii="Times New Roman" w:eastAsia="方正仿宋_GB2312" w:hAnsi="Times New Roman" w:cs="Times New Roman"/>
          <w:spacing w:val="10"/>
          <w:sz w:val="28"/>
          <w:szCs w:val="28"/>
        </w:rPr>
        <w:t>中没有的材料，在施工过程中变更调整增加的</w:t>
      </w:r>
      <w:r>
        <w:rPr>
          <w:rFonts w:ascii="Times New Roman" w:eastAsia="方正仿宋_GB2312" w:hAnsi="Times New Roman" w:cs="Times New Roman"/>
          <w:spacing w:val="10"/>
          <w:sz w:val="28"/>
          <w:szCs w:val="28"/>
        </w:rPr>
        <w:t>,</w:t>
      </w:r>
      <w:r>
        <w:rPr>
          <w:rFonts w:ascii="Times New Roman" w:eastAsia="方正仿宋_GB2312" w:hAnsi="Times New Roman" w:cs="Times New Roman"/>
          <w:spacing w:val="10"/>
          <w:sz w:val="28"/>
          <w:szCs w:val="28"/>
        </w:rPr>
        <w:t>由乙方参照本次</w:t>
      </w:r>
      <w:r>
        <w:rPr>
          <w:rFonts w:ascii="Times New Roman" w:eastAsia="方正仿宋_GB2312" w:hAnsi="Times New Roman" w:cs="Times New Roman" w:hint="eastAsia"/>
          <w:spacing w:val="10"/>
          <w:sz w:val="28"/>
          <w:szCs w:val="28"/>
        </w:rPr>
        <w:t>询价报价</w:t>
      </w:r>
      <w:r>
        <w:rPr>
          <w:rFonts w:ascii="Times New Roman" w:eastAsia="方正仿宋_GB2312" w:hAnsi="Times New Roman" w:cs="Times New Roman"/>
          <w:spacing w:val="10"/>
          <w:sz w:val="28"/>
          <w:szCs w:val="28"/>
        </w:rPr>
        <w:t>编制、申报单价，报监理和审计部门，由甲方最终确定结算价格。</w:t>
      </w:r>
    </w:p>
    <w:p w14:paraId="4AEDE2D5" w14:textId="77777777" w:rsidR="00A5429A" w:rsidRDefault="00000000">
      <w:pPr>
        <w:spacing w:line="38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3</w:t>
      </w:r>
      <w:r>
        <w:rPr>
          <w:rFonts w:ascii="Times New Roman" w:eastAsia="方正仿宋_GB2312" w:hAnsi="Times New Roman" w:cs="Times New Roman"/>
          <w:spacing w:val="10"/>
          <w:sz w:val="28"/>
          <w:szCs w:val="28"/>
        </w:rPr>
        <w:t>、本项目为固定综合单价采购</w:t>
      </w:r>
      <w:r>
        <w:rPr>
          <w:rFonts w:ascii="Times New Roman" w:eastAsia="方正仿宋_GB2312" w:hAnsi="Times New Roman" w:cs="Times New Roman"/>
          <w:spacing w:val="10"/>
          <w:sz w:val="28"/>
          <w:szCs w:val="28"/>
        </w:rPr>
        <w:t xml:space="preserve">, </w:t>
      </w:r>
      <w:r>
        <w:rPr>
          <w:rFonts w:ascii="Times New Roman" w:eastAsia="方正仿宋_GB2312" w:hAnsi="Times New Roman" w:cs="Times New Roman"/>
          <w:spacing w:val="10"/>
          <w:sz w:val="28"/>
          <w:szCs w:val="28"/>
        </w:rPr>
        <w:t>实际采购数量按实结算。</w:t>
      </w:r>
    </w:p>
    <w:p w14:paraId="2323DACD" w14:textId="77777777" w:rsidR="00A5429A" w:rsidRDefault="00000000">
      <w:pPr>
        <w:spacing w:line="380" w:lineRule="exact"/>
        <w:ind w:firstLineChars="200" w:firstLine="600"/>
        <w:rPr>
          <w:rFonts w:ascii="Times New Roman" w:eastAsia="方正仿宋_GB2312" w:hAnsi="Times New Roman" w:cs="Times New Roman"/>
          <w:spacing w:val="10"/>
          <w:sz w:val="28"/>
          <w:szCs w:val="28"/>
        </w:rPr>
      </w:pPr>
      <w:r>
        <w:rPr>
          <w:rFonts w:ascii="Times New Roman" w:eastAsia="方正仿宋_GB2312" w:hAnsi="Times New Roman" w:cs="Times New Roman"/>
          <w:spacing w:val="10"/>
          <w:sz w:val="28"/>
          <w:szCs w:val="28"/>
        </w:rPr>
        <w:t>4</w:t>
      </w:r>
      <w:r>
        <w:rPr>
          <w:rFonts w:ascii="Times New Roman" w:eastAsia="方正仿宋_GB2312" w:hAnsi="Times New Roman" w:cs="Times New Roman"/>
          <w:spacing w:val="10"/>
          <w:sz w:val="28"/>
          <w:szCs w:val="28"/>
        </w:rPr>
        <w:t>、付款方式：本合同以人民币结算。</w:t>
      </w:r>
    </w:p>
    <w:p w14:paraId="318DA0A6" w14:textId="77777777" w:rsidR="00A5429A" w:rsidRDefault="00000000">
      <w:pPr>
        <w:spacing w:line="420" w:lineRule="exact"/>
        <w:ind w:firstLineChars="200" w:firstLine="560"/>
        <w:rPr>
          <w:rFonts w:ascii="Times New Roman" w:eastAsia="方正仿宋_GB2312" w:hAnsi="Times New Roman" w:cs="Times New Roman"/>
          <w:spacing w:val="10"/>
          <w:sz w:val="28"/>
          <w:szCs w:val="28"/>
        </w:rPr>
      </w:pP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hint="eastAsia"/>
          <w:snapToGrid w:val="0"/>
          <w:sz w:val="28"/>
          <w:szCs w:val="28"/>
        </w:rPr>
        <w:t>1</w:t>
      </w:r>
      <w:r>
        <w:rPr>
          <w:rFonts w:ascii="Times New Roman" w:eastAsia="方正仿宋_GB2312" w:hAnsi="Times New Roman" w:cs="Times New Roman" w:hint="eastAsia"/>
          <w:snapToGrid w:val="0"/>
          <w:sz w:val="28"/>
          <w:szCs w:val="28"/>
        </w:rPr>
        <w:t>）</w:t>
      </w:r>
      <w:r>
        <w:rPr>
          <w:rFonts w:ascii="Times New Roman" w:eastAsia="方正仿宋_GB2312" w:hAnsi="Times New Roman" w:cs="Times New Roman"/>
          <w:snapToGrid w:val="0"/>
          <w:sz w:val="28"/>
          <w:szCs w:val="28"/>
        </w:rPr>
        <w:t>支付时间及金额：</w:t>
      </w:r>
    </w:p>
    <w:p w14:paraId="2158C04C" w14:textId="77777777" w:rsidR="00A5429A" w:rsidRDefault="00000000">
      <w:pPr>
        <w:spacing w:line="420" w:lineRule="exact"/>
        <w:ind w:firstLineChars="200" w:firstLine="600"/>
        <w:rPr>
          <w:rFonts w:ascii="Times New Roman" w:eastAsia="方正仿宋_GB2312" w:hAnsi="Times New Roman" w:cs="Times New Roman"/>
          <w:snapToGrid w:val="0"/>
          <w:sz w:val="28"/>
          <w:szCs w:val="28"/>
        </w:rPr>
      </w:pPr>
      <w:r>
        <w:rPr>
          <w:rFonts w:ascii="Times New Roman" w:eastAsia="方正仿宋_GB2312" w:hAnsi="Times New Roman" w:cs="Times New Roman" w:hint="eastAsia"/>
          <w:spacing w:val="10"/>
          <w:sz w:val="28"/>
          <w:szCs w:val="28"/>
        </w:rPr>
        <w:t>货物运达到货地点且入库验收合格后，乙方提供金额为合同总价</w:t>
      </w:r>
      <w:r>
        <w:rPr>
          <w:rFonts w:ascii="Times New Roman" w:eastAsia="方正仿宋_GB2312" w:hAnsi="Times New Roman" w:cs="Times New Roman" w:hint="eastAsia"/>
          <w:spacing w:val="10"/>
          <w:sz w:val="28"/>
          <w:szCs w:val="28"/>
        </w:rPr>
        <w:t>100%</w:t>
      </w:r>
      <w:r>
        <w:rPr>
          <w:rFonts w:ascii="Times New Roman" w:eastAsia="方正仿宋_GB2312" w:hAnsi="Times New Roman" w:cs="Times New Roman" w:hint="eastAsia"/>
          <w:spacing w:val="10"/>
          <w:sz w:val="28"/>
          <w:szCs w:val="28"/>
        </w:rPr>
        <w:t>的增值税专用发票，经甲方审核无误后</w:t>
      </w:r>
      <w:r>
        <w:rPr>
          <w:rFonts w:ascii="Times New Roman" w:eastAsia="方正仿宋_GB2312" w:hAnsi="Times New Roman" w:cs="Times New Roman" w:hint="eastAsia"/>
          <w:spacing w:val="10"/>
          <w:sz w:val="28"/>
          <w:szCs w:val="28"/>
        </w:rPr>
        <w:t>60</w:t>
      </w:r>
      <w:r>
        <w:rPr>
          <w:rFonts w:ascii="Times New Roman" w:eastAsia="方正仿宋_GB2312" w:hAnsi="Times New Roman" w:cs="Times New Roman" w:hint="eastAsia"/>
          <w:spacing w:val="10"/>
          <w:sz w:val="28"/>
          <w:szCs w:val="28"/>
        </w:rPr>
        <w:t>天内（日历天数），甲方支付合同总价的</w:t>
      </w:r>
      <w:r>
        <w:rPr>
          <w:rFonts w:ascii="Times New Roman" w:eastAsia="方正仿宋_GB2312" w:hAnsi="Times New Roman" w:cs="Times New Roman" w:hint="eastAsia"/>
          <w:spacing w:val="10"/>
          <w:sz w:val="28"/>
          <w:szCs w:val="28"/>
        </w:rPr>
        <w:t>95%</w:t>
      </w:r>
      <w:r>
        <w:rPr>
          <w:rFonts w:ascii="Times New Roman" w:eastAsia="方正仿宋_GB2312" w:hAnsi="Times New Roman" w:cs="Times New Roman" w:hint="eastAsia"/>
          <w:spacing w:val="10"/>
          <w:sz w:val="28"/>
          <w:szCs w:val="28"/>
        </w:rPr>
        <w:t>，剩余</w:t>
      </w:r>
      <w:r>
        <w:rPr>
          <w:rFonts w:ascii="Times New Roman" w:eastAsia="方正仿宋_GB2312" w:hAnsi="Times New Roman" w:cs="Times New Roman" w:hint="eastAsia"/>
          <w:spacing w:val="10"/>
          <w:sz w:val="28"/>
          <w:szCs w:val="28"/>
        </w:rPr>
        <w:t>5%</w:t>
      </w:r>
      <w:r>
        <w:rPr>
          <w:rFonts w:ascii="Times New Roman" w:eastAsia="方正仿宋_GB2312" w:hAnsi="Times New Roman" w:cs="Times New Roman" w:hint="eastAsia"/>
          <w:spacing w:val="10"/>
          <w:sz w:val="28"/>
          <w:szCs w:val="28"/>
        </w:rPr>
        <w:t>于质保期（五年）结束后支付。</w:t>
      </w:r>
      <w:r>
        <w:rPr>
          <w:rFonts w:ascii="Times New Roman" w:eastAsia="方正仿宋_GB2312" w:hAnsi="Times New Roman" w:cs="Times New Roman" w:hint="eastAsia"/>
          <w:snapToGrid w:val="0"/>
          <w:sz w:val="28"/>
          <w:szCs w:val="28"/>
        </w:rPr>
        <w:t xml:space="preserve">    </w:t>
      </w:r>
    </w:p>
    <w:p w14:paraId="64D5DBBB" w14:textId="77777777" w:rsidR="00A5429A" w:rsidRDefault="00000000">
      <w:pPr>
        <w:spacing w:line="420" w:lineRule="exact"/>
        <w:ind w:firstLineChars="200" w:firstLine="600"/>
        <w:rPr>
          <w:rFonts w:ascii="Times New Roman" w:eastAsia="方正仿宋_GB2312" w:hAnsi="Times New Roman" w:cs="Times New Roman"/>
          <w:snapToGrid w:val="0"/>
          <w:sz w:val="28"/>
          <w:szCs w:val="28"/>
        </w:rPr>
      </w:pPr>
      <w:r>
        <w:rPr>
          <w:rFonts w:ascii="Times New Roman" w:eastAsia="方正仿宋_GB2312" w:hAnsi="Times New Roman" w:cs="Times New Roman"/>
          <w:spacing w:val="10"/>
          <w:sz w:val="28"/>
          <w:szCs w:val="28"/>
        </w:rPr>
        <w:t>九、材料的运输、装卸由乙方负责</w:t>
      </w:r>
      <w:r>
        <w:rPr>
          <w:rFonts w:ascii="Times New Roman" w:eastAsia="方正仿宋_GB2312" w:hAnsi="Times New Roman" w:cs="Times New Roman"/>
          <w:spacing w:val="10"/>
          <w:sz w:val="28"/>
          <w:szCs w:val="28"/>
        </w:rPr>
        <w:t>,</w:t>
      </w:r>
      <w:r>
        <w:rPr>
          <w:rFonts w:ascii="Times New Roman" w:eastAsia="方正仿宋_GB2312" w:hAnsi="Times New Roman" w:cs="Times New Roman"/>
          <w:spacing w:val="10"/>
          <w:sz w:val="28"/>
          <w:szCs w:val="28"/>
        </w:rPr>
        <w:t>费用由乙方承担。</w:t>
      </w:r>
    </w:p>
    <w:p w14:paraId="7B5B70A4" w14:textId="77777777" w:rsidR="00A5429A" w:rsidRDefault="00000000">
      <w:pPr>
        <w:spacing w:line="420" w:lineRule="exact"/>
        <w:ind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1</w:t>
      </w:r>
      <w:r>
        <w:rPr>
          <w:rFonts w:ascii="Times New Roman" w:eastAsia="方正仿宋_GB2312" w:hAnsi="Times New Roman" w:cs="Times New Roman"/>
          <w:snapToGrid w:val="0"/>
          <w:sz w:val="28"/>
          <w:szCs w:val="28"/>
        </w:rPr>
        <w:t>、乙方需将材料运输至</w:t>
      </w:r>
    </w:p>
    <w:p w14:paraId="7DFD505D" w14:textId="77777777" w:rsidR="00A5429A" w:rsidRDefault="00000000">
      <w:pPr>
        <w:spacing w:line="420" w:lineRule="exact"/>
        <w:ind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甲方仓库入库检验（包含装卸）。在运输、装卸等环节，必须做好成品保护，确保货物完好无损；乙方需明确现场服务的技术人员名单。在甲方施工期间提供调试、配合服务工作，人员数量和调试进度应符合现场需求，否则由此产生的误工等费用从</w:t>
      </w:r>
      <w:r>
        <w:rPr>
          <w:rFonts w:ascii="Times New Roman" w:eastAsia="方正仿宋_GB2312" w:hAnsi="Times New Roman" w:cs="Times New Roman" w:hint="eastAsia"/>
          <w:snapToGrid w:val="0"/>
          <w:sz w:val="28"/>
          <w:szCs w:val="28"/>
        </w:rPr>
        <w:t>任一一期金额</w:t>
      </w:r>
      <w:r>
        <w:rPr>
          <w:rFonts w:ascii="Times New Roman" w:eastAsia="方正仿宋_GB2312" w:hAnsi="Times New Roman" w:cs="Times New Roman"/>
          <w:snapToGrid w:val="0"/>
          <w:sz w:val="28"/>
          <w:szCs w:val="28"/>
        </w:rPr>
        <w:t>中扣除，</w:t>
      </w:r>
      <w:r>
        <w:rPr>
          <w:rFonts w:ascii="Times New Roman" w:eastAsia="方正仿宋_GB2312" w:hAnsi="Times New Roman" w:cs="Times New Roman"/>
          <w:snapToGrid w:val="0"/>
          <w:sz w:val="28"/>
          <w:szCs w:val="28"/>
        </w:rPr>
        <w:lastRenderedPageBreak/>
        <w:t>此项服务乙方的响应时间为</w:t>
      </w:r>
      <w:r>
        <w:rPr>
          <w:rFonts w:ascii="Times New Roman" w:eastAsia="方正仿宋_GB2312" w:hAnsi="Times New Roman" w:cs="Times New Roman"/>
          <w:snapToGrid w:val="0"/>
          <w:sz w:val="28"/>
          <w:szCs w:val="28"/>
        </w:rPr>
        <w:t>24</w:t>
      </w:r>
      <w:r>
        <w:rPr>
          <w:rFonts w:ascii="Times New Roman" w:eastAsia="方正仿宋_GB2312" w:hAnsi="Times New Roman" w:cs="Times New Roman"/>
          <w:snapToGrid w:val="0"/>
          <w:sz w:val="28"/>
          <w:szCs w:val="28"/>
        </w:rPr>
        <w:t>小时。</w:t>
      </w:r>
    </w:p>
    <w:p w14:paraId="7A010BAC" w14:textId="77777777" w:rsidR="00A5429A" w:rsidRDefault="00000000">
      <w:pPr>
        <w:spacing w:line="380" w:lineRule="exact"/>
        <w:ind w:firstLineChars="200" w:firstLine="560"/>
        <w:rPr>
          <w:rFonts w:ascii="Times New Roman" w:eastAsia="方正仿宋_GB2312" w:hAnsi="Times New Roman" w:cs="Times New Roman"/>
          <w:spacing w:val="10"/>
          <w:sz w:val="28"/>
          <w:szCs w:val="28"/>
        </w:rPr>
      </w:pPr>
      <w:r>
        <w:rPr>
          <w:rFonts w:ascii="Times New Roman" w:eastAsia="方正仿宋_GB2312" w:hAnsi="Times New Roman" w:cs="Times New Roman"/>
          <w:snapToGrid w:val="0"/>
          <w:sz w:val="28"/>
          <w:szCs w:val="28"/>
        </w:rPr>
        <w:t>2</w:t>
      </w:r>
      <w:r>
        <w:rPr>
          <w:rFonts w:ascii="Times New Roman" w:eastAsia="方正仿宋_GB2312" w:hAnsi="Times New Roman" w:cs="Times New Roman"/>
          <w:snapToGrid w:val="0"/>
          <w:sz w:val="28"/>
          <w:szCs w:val="28"/>
        </w:rPr>
        <w:t>、报价包含运输至甲方仓库入库检验的相关费用（包含装卸费用）。在运输、装卸等环节，必须做好成品保护，确保货物完好无损。所有措施费用含在</w:t>
      </w:r>
      <w:r>
        <w:rPr>
          <w:rFonts w:ascii="Times New Roman" w:eastAsia="方正仿宋_GB2312" w:hAnsi="Times New Roman" w:cs="Times New Roman" w:hint="eastAsia"/>
          <w:snapToGrid w:val="0"/>
          <w:sz w:val="28"/>
          <w:szCs w:val="28"/>
        </w:rPr>
        <w:t>询价报价</w:t>
      </w:r>
      <w:r>
        <w:rPr>
          <w:rFonts w:ascii="Times New Roman" w:eastAsia="方正仿宋_GB2312" w:hAnsi="Times New Roman" w:cs="Times New Roman"/>
          <w:snapToGrid w:val="0"/>
          <w:sz w:val="28"/>
          <w:szCs w:val="28"/>
        </w:rPr>
        <w:t>中。</w:t>
      </w:r>
    </w:p>
    <w:p w14:paraId="1529CA7C"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十、保修及售后服务：</w:t>
      </w:r>
    </w:p>
    <w:p w14:paraId="7F49BA67"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snapToGrid w:val="0"/>
          <w:sz w:val="28"/>
          <w:szCs w:val="28"/>
        </w:rPr>
        <w:t>1、详见乙方投标文件中提供的售后服务承诺。</w:t>
      </w:r>
    </w:p>
    <w:p w14:paraId="4A810CEF"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snapToGrid w:val="0"/>
          <w:sz w:val="28"/>
          <w:szCs w:val="28"/>
        </w:rPr>
        <w:t>2、质保期</w:t>
      </w:r>
      <w:r>
        <w:rPr>
          <w:rFonts w:ascii="仿宋" w:eastAsia="仿宋" w:hAnsi="仿宋" w:cs="Times New Roman" w:hint="eastAsia"/>
          <w:snapToGrid w:val="0"/>
          <w:sz w:val="28"/>
          <w:szCs w:val="28"/>
        </w:rPr>
        <w:t>五</w:t>
      </w:r>
      <w:r>
        <w:rPr>
          <w:rFonts w:ascii="仿宋" w:eastAsia="仿宋" w:hAnsi="仿宋" w:cs="Times New Roman"/>
          <w:snapToGrid w:val="0"/>
          <w:sz w:val="28"/>
          <w:szCs w:val="28"/>
        </w:rPr>
        <w:t>年，按交货完成并经</w:t>
      </w:r>
      <w:r>
        <w:rPr>
          <w:rFonts w:ascii="仿宋" w:eastAsia="仿宋" w:hAnsi="仿宋" w:cs="Times New Roman" w:hint="eastAsia"/>
          <w:snapToGrid w:val="0"/>
          <w:sz w:val="28"/>
          <w:szCs w:val="28"/>
        </w:rPr>
        <w:t>甲方</w:t>
      </w:r>
      <w:r>
        <w:rPr>
          <w:rFonts w:ascii="仿宋" w:eastAsia="仿宋" w:hAnsi="仿宋" w:cs="Times New Roman"/>
          <w:snapToGrid w:val="0"/>
          <w:sz w:val="28"/>
          <w:szCs w:val="28"/>
        </w:rPr>
        <w:t>验收合格之日计算，在此期间乙方应按照相关的国家规范和行业标准的规定对其产品负责。</w:t>
      </w:r>
    </w:p>
    <w:p w14:paraId="53DA0F0E"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snapToGrid w:val="0"/>
          <w:sz w:val="28"/>
          <w:szCs w:val="28"/>
        </w:rPr>
        <w:t>3、质保期内因乙方原因导致甲方损失的，乙方应承担赔偿责任。</w:t>
      </w:r>
    </w:p>
    <w:p w14:paraId="6F806AF1"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hint="eastAsia"/>
          <w:snapToGrid w:val="0"/>
          <w:sz w:val="28"/>
          <w:szCs w:val="28"/>
        </w:rPr>
        <w:t>4、质保期责任</w:t>
      </w:r>
    </w:p>
    <w:p w14:paraId="2C939E1B"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hint="eastAsia"/>
          <w:snapToGrid w:val="0"/>
          <w:sz w:val="28"/>
          <w:szCs w:val="28"/>
        </w:rPr>
        <w:t>质保期内，出现单灯控制器损坏、</w:t>
      </w:r>
      <w:proofErr w:type="gramStart"/>
      <w:r>
        <w:rPr>
          <w:rFonts w:ascii="仿宋" w:eastAsia="仿宋" w:hAnsi="仿宋" w:cs="Times New Roman" w:hint="eastAsia"/>
          <w:snapToGrid w:val="0"/>
          <w:sz w:val="28"/>
          <w:szCs w:val="28"/>
        </w:rPr>
        <w:t>失</w:t>
      </w:r>
      <w:r>
        <w:rPr>
          <w:rFonts w:ascii="仿宋" w:eastAsia="仿宋" w:hAnsi="仿宋" w:cs="宋体" w:hint="eastAsia"/>
          <w:snapToGrid w:val="0"/>
          <w:sz w:val="28"/>
          <w:szCs w:val="28"/>
        </w:rPr>
        <w:t>联</w:t>
      </w:r>
      <w:r>
        <w:rPr>
          <w:rFonts w:ascii="仿宋" w:eastAsia="仿宋" w:hAnsi="仿宋" w:cs="___WRD_EMBED_SUB_43" w:hint="eastAsia"/>
          <w:snapToGrid w:val="0"/>
          <w:sz w:val="28"/>
          <w:szCs w:val="28"/>
        </w:rPr>
        <w:t>等</w:t>
      </w:r>
      <w:proofErr w:type="gramEnd"/>
      <w:r>
        <w:rPr>
          <w:rFonts w:ascii="仿宋" w:eastAsia="仿宋" w:hAnsi="仿宋" w:cs="___WRD_EMBED_SUB_43" w:hint="eastAsia"/>
          <w:snapToGrid w:val="0"/>
          <w:sz w:val="28"/>
          <w:szCs w:val="28"/>
        </w:rPr>
        <w:t>质量问题的，由乙方无条件更换并承担相关维修费用（含人工、机械、管理等费用）</w:t>
      </w:r>
      <w:r>
        <w:rPr>
          <w:rFonts w:ascii="仿宋" w:eastAsia="仿宋" w:hAnsi="仿宋" w:cs="Times New Roman" w:hint="eastAsia"/>
          <w:snapToGrid w:val="0"/>
          <w:sz w:val="28"/>
          <w:szCs w:val="28"/>
        </w:rPr>
        <w:t>300元/套，乙方应提供充足的备品备件，且不得低于每笔订单同款控制器总量的2%，必须在接到甲方通知12小时内响应、48小时内送至甲方指定地点。乙方未按前述期限内完成的，甲方有权另行采购、维修，相关费用（产品采购费用、更换维修费用）由乙方承担，并有权直接从剩余应付货款、质保金中扣除。</w:t>
      </w:r>
    </w:p>
    <w:p w14:paraId="362543B5"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仿宋" w:eastAsia="仿宋" w:hAnsi="仿宋" w:cs="Times New Roman" w:hint="eastAsia"/>
          <w:snapToGrid w:val="0"/>
          <w:sz w:val="28"/>
          <w:szCs w:val="28"/>
        </w:rPr>
        <w:t>质保期内，损坏率超过合同供货总量的2%的或供货阶段质量问题货物总量超过已下单订单总量的2%，甲方有权就超出部分的质量问题货物向乙方主张退款退货并要求乙方承担该损坏产品采购价款总和的2倍作为违约金，供货阶段质量问题货物总量超过已下单订单总量的2%，甲方有权就未交货的部分解除买卖合同关系，甲方解除合同的通知将以邮寄形式邮寄到乙方所在地，时间从到达乙方时生效，并有权要求乙方按本合同总价的20%承担违约金，该等违约金有权在任何一期应付款中相应扣除。双方确认前述违约金系在影响工期、重新采购招标，给甲方造成直接、间接损失的情况下确定的数额，不存在过高情形。</w:t>
      </w:r>
    </w:p>
    <w:p w14:paraId="4EA33EAF" w14:textId="77777777" w:rsidR="00A5429A" w:rsidRDefault="00000000">
      <w:pPr>
        <w:spacing w:line="420" w:lineRule="exact"/>
        <w:ind w:leftChars="232" w:left="557"/>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十一、其它约定事项：</w:t>
      </w:r>
    </w:p>
    <w:p w14:paraId="67A8A7CC" w14:textId="77777777" w:rsidR="00A5429A" w:rsidRDefault="00000000">
      <w:pPr>
        <w:spacing w:line="420" w:lineRule="exact"/>
        <w:ind w:leftChars="232" w:left="557"/>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1</w:t>
      </w:r>
      <w:r>
        <w:rPr>
          <w:rFonts w:ascii="Times New Roman" w:eastAsia="方正仿宋_GB2312" w:hAnsi="Times New Roman" w:cs="Times New Roman"/>
          <w:snapToGrid w:val="0"/>
          <w:sz w:val="28"/>
          <w:szCs w:val="28"/>
        </w:rPr>
        <w:t>、乙方有义务在合同执行量到</w:t>
      </w:r>
      <w:r>
        <w:rPr>
          <w:rFonts w:ascii="Times New Roman" w:eastAsia="方正仿宋_GB2312" w:hAnsi="Times New Roman" w:cs="Times New Roman"/>
          <w:snapToGrid w:val="0"/>
          <w:sz w:val="28"/>
          <w:szCs w:val="28"/>
        </w:rPr>
        <w:t>80%</w:t>
      </w:r>
      <w:r>
        <w:rPr>
          <w:rFonts w:ascii="Times New Roman" w:eastAsia="方正仿宋_GB2312" w:hAnsi="Times New Roman" w:cs="Times New Roman"/>
          <w:snapToGrid w:val="0"/>
          <w:sz w:val="28"/>
          <w:szCs w:val="28"/>
        </w:rPr>
        <w:t>时提醒甲方，否则在订单下达时超过合同执行量的订单为无效订单。</w:t>
      </w:r>
    </w:p>
    <w:p w14:paraId="4C3A3059"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hint="eastAsia"/>
          <w:snapToGrid w:val="0"/>
          <w:sz w:val="28"/>
          <w:szCs w:val="28"/>
        </w:rPr>
        <w:t>2</w:t>
      </w:r>
      <w:r>
        <w:rPr>
          <w:rFonts w:ascii="Times New Roman" w:eastAsia="方正仿宋_GB2312" w:hAnsi="Times New Roman" w:cs="Times New Roman"/>
          <w:snapToGrid w:val="0"/>
          <w:sz w:val="28"/>
          <w:szCs w:val="28"/>
        </w:rPr>
        <w:t>、乙方在履行本合同过程中应确保安全施工，如发生意外人身损害事故或其他安全事故的，由乙方承担全部责任，甲方不承担任何责任和赔偿。</w:t>
      </w:r>
    </w:p>
    <w:p w14:paraId="6F5DAE1B"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hint="eastAsia"/>
          <w:snapToGrid w:val="0"/>
          <w:sz w:val="28"/>
          <w:szCs w:val="28"/>
        </w:rPr>
        <w:lastRenderedPageBreak/>
        <w:t>3</w:t>
      </w:r>
      <w:r>
        <w:rPr>
          <w:rFonts w:ascii="Times New Roman" w:eastAsia="方正仿宋_GB2312" w:hAnsi="Times New Roman" w:cs="Times New Roman"/>
          <w:snapToGrid w:val="0"/>
          <w:sz w:val="28"/>
          <w:szCs w:val="28"/>
        </w:rPr>
        <w:t>、乙方保证，其所提供的货物在提供给甲方前具有完全的所有权，或取得专利权人的授权。甲方在使用该货物或货物的任何一部分时，如果受到第三方提出的包括但不限于侵犯其专利权、商标权、工业设计权或专有技术权等知识产权的起诉，或者受到可能存在的抵押权、担保权在内的物</w:t>
      </w:r>
      <w:proofErr w:type="gramStart"/>
      <w:r>
        <w:rPr>
          <w:rFonts w:ascii="Times New Roman" w:eastAsia="方正仿宋_GB2312" w:hAnsi="Times New Roman" w:cs="Times New Roman"/>
          <w:snapToGrid w:val="0"/>
          <w:sz w:val="28"/>
          <w:szCs w:val="28"/>
        </w:rPr>
        <w:t>权权利</w:t>
      </w:r>
      <w:proofErr w:type="gramEnd"/>
      <w:r>
        <w:rPr>
          <w:rFonts w:ascii="Times New Roman" w:eastAsia="方正仿宋_GB2312" w:hAnsi="Times New Roman" w:cs="Times New Roman"/>
          <w:snapToGrid w:val="0"/>
          <w:sz w:val="28"/>
          <w:szCs w:val="28"/>
        </w:rPr>
        <w:t>瑕疵的起诉，或者被行政主管部门予以处罚的，乙方应负责处理纠纷，并承担由此产生的全部法律责任和赔偿责任。若由此导致甲方涉入诉讼、行政处罚、索赔或其他司法程序的，乙方承诺按照本合同总金额的</w:t>
      </w:r>
      <w:r>
        <w:rPr>
          <w:rFonts w:ascii="Times New Roman" w:eastAsia="方正仿宋_GB2312" w:hAnsi="Times New Roman" w:cs="Times New Roman"/>
          <w:snapToGrid w:val="0"/>
          <w:sz w:val="28"/>
          <w:szCs w:val="28"/>
        </w:rPr>
        <w:t>10%</w:t>
      </w:r>
      <w:r>
        <w:rPr>
          <w:rFonts w:ascii="Times New Roman" w:eastAsia="方正仿宋_GB2312" w:hAnsi="Times New Roman" w:cs="Times New Roman"/>
          <w:snapToGrid w:val="0"/>
          <w:sz w:val="28"/>
          <w:szCs w:val="28"/>
        </w:rPr>
        <w:t>向甲方支付违约金，违约金不足以弥补甲方损失的，乙方仍应继续赔偿直至弥补甲方所有损失（包括但不限于甲方支出的诉讼费、律师费、罚款、保全费、鉴定费、调查费、和解金额或终审判决的损害赔偿金额，以及由此给甲方造成的财产损失和名誉损失等）。甲方有权就其因此而遭受的任何名誉、声誉或经济上的直接或间接的损失向乙方索赔。</w:t>
      </w:r>
    </w:p>
    <w:p w14:paraId="77ED3199" w14:textId="77777777" w:rsidR="00A5429A" w:rsidRDefault="00000000">
      <w:pPr>
        <w:spacing w:line="420" w:lineRule="exact"/>
        <w:ind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hint="eastAsia"/>
          <w:snapToGrid w:val="0"/>
          <w:sz w:val="28"/>
          <w:szCs w:val="28"/>
        </w:rPr>
        <w:t>4</w:t>
      </w:r>
      <w:r>
        <w:rPr>
          <w:rFonts w:ascii="Times New Roman" w:eastAsia="方正仿宋_GB2312" w:hAnsi="Times New Roman" w:cs="Times New Roman"/>
          <w:snapToGrid w:val="0"/>
          <w:sz w:val="28"/>
          <w:szCs w:val="28"/>
        </w:rPr>
        <w:t>、乙方保证并承诺：乙方及时备货、具备仓储能力，有能力根据甲方要求随时发货；甲方要求发货的（包括分期），乙方应在甲方要求的期限内交付。</w:t>
      </w:r>
    </w:p>
    <w:p w14:paraId="6194BB15" w14:textId="77777777" w:rsidR="00A5429A" w:rsidRDefault="00000000">
      <w:pPr>
        <w:spacing w:line="420" w:lineRule="exact"/>
        <w:ind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snapToGrid w:val="0"/>
          <w:sz w:val="28"/>
          <w:szCs w:val="28"/>
        </w:rPr>
        <w:t>甲方有权随时对乙方的仓储、备货能力进行检查，若发现乙方不具备仓储能力或明显未备货的，甲方有权解除合同。</w:t>
      </w:r>
    </w:p>
    <w:p w14:paraId="21DA0240" w14:textId="77777777" w:rsidR="00A5429A" w:rsidRDefault="00000000">
      <w:pPr>
        <w:spacing w:line="420" w:lineRule="exact"/>
        <w:ind w:firstLineChars="200" w:firstLine="560"/>
        <w:rPr>
          <w:rFonts w:ascii="仿宋" w:eastAsia="仿宋" w:hAnsi="仿宋" w:cs="Times New Roman" w:hint="eastAsia"/>
          <w:snapToGrid w:val="0"/>
          <w:sz w:val="28"/>
          <w:szCs w:val="28"/>
        </w:rPr>
      </w:pPr>
      <w:r>
        <w:rPr>
          <w:rFonts w:ascii="Times New Roman" w:eastAsia="方正仿宋_GB2312" w:hAnsi="Times New Roman" w:cs="Times New Roman" w:hint="eastAsia"/>
          <w:snapToGrid w:val="0"/>
          <w:sz w:val="28"/>
          <w:szCs w:val="28"/>
        </w:rPr>
        <w:t>5</w:t>
      </w:r>
      <w:r>
        <w:rPr>
          <w:rFonts w:ascii="Times New Roman" w:eastAsia="方正仿宋_GB2312" w:hAnsi="Times New Roman" w:cs="Times New Roman"/>
          <w:snapToGrid w:val="0"/>
          <w:sz w:val="28"/>
          <w:szCs w:val="28"/>
        </w:rPr>
        <w:t>、本合同经甲方、乙方签字盖章后生效，如有变动，必须经甲</w:t>
      </w:r>
      <w:r>
        <w:rPr>
          <w:rFonts w:ascii="仿宋" w:eastAsia="仿宋" w:hAnsi="仿宋" w:cs="Times New Roman"/>
          <w:snapToGrid w:val="0"/>
          <w:sz w:val="28"/>
          <w:szCs w:val="28"/>
        </w:rPr>
        <w:t>方、乙方协商一致后方可更改。本合同一式</w:t>
      </w:r>
      <w:r>
        <w:rPr>
          <w:rFonts w:ascii="仿宋" w:eastAsia="仿宋" w:hAnsi="仿宋" w:cs="宋体" w:hint="eastAsia"/>
          <w:snapToGrid w:val="0"/>
          <w:sz w:val="28"/>
          <w:szCs w:val="28"/>
        </w:rPr>
        <w:t>肆</w:t>
      </w:r>
      <w:r>
        <w:rPr>
          <w:rFonts w:ascii="仿宋" w:eastAsia="仿宋" w:hAnsi="仿宋" w:cs="Times New Roman"/>
          <w:snapToGrid w:val="0"/>
          <w:sz w:val="28"/>
          <w:szCs w:val="28"/>
        </w:rPr>
        <w:t>份，甲方</w:t>
      </w:r>
      <w:r>
        <w:rPr>
          <w:rFonts w:ascii="仿宋" w:eastAsia="仿宋" w:hAnsi="仿宋" w:cs="Times New Roman" w:hint="eastAsia"/>
          <w:snapToGrid w:val="0"/>
          <w:sz w:val="28"/>
          <w:szCs w:val="28"/>
        </w:rPr>
        <w:t>贰</w:t>
      </w:r>
      <w:r>
        <w:rPr>
          <w:rFonts w:ascii="仿宋" w:eastAsia="仿宋" w:hAnsi="仿宋" w:cs="Times New Roman"/>
          <w:snapToGrid w:val="0"/>
          <w:sz w:val="28"/>
          <w:szCs w:val="28"/>
        </w:rPr>
        <w:t>份，乙方</w:t>
      </w:r>
      <w:r>
        <w:rPr>
          <w:rFonts w:ascii="仿宋" w:eastAsia="仿宋" w:hAnsi="仿宋" w:cs="Times New Roman" w:hint="eastAsia"/>
          <w:snapToGrid w:val="0"/>
          <w:sz w:val="28"/>
          <w:szCs w:val="28"/>
        </w:rPr>
        <w:t>贰</w:t>
      </w:r>
      <w:r>
        <w:rPr>
          <w:rFonts w:ascii="仿宋" w:eastAsia="仿宋" w:hAnsi="仿宋" w:cs="Times New Roman"/>
          <w:snapToGrid w:val="0"/>
          <w:sz w:val="28"/>
          <w:szCs w:val="28"/>
        </w:rPr>
        <w:t>份。</w:t>
      </w:r>
    </w:p>
    <w:p w14:paraId="43952120" w14:textId="77777777" w:rsidR="00A5429A" w:rsidRDefault="00000000">
      <w:pPr>
        <w:spacing w:line="420" w:lineRule="exact"/>
        <w:ind w:firstLineChars="200" w:firstLine="560"/>
        <w:rPr>
          <w:rFonts w:ascii="Times New Roman" w:eastAsia="方正仿宋_GB2312" w:hAnsi="Times New Roman" w:cs="Times New Roman"/>
          <w:snapToGrid w:val="0"/>
          <w:sz w:val="28"/>
          <w:szCs w:val="28"/>
        </w:rPr>
      </w:pPr>
      <w:r>
        <w:rPr>
          <w:rFonts w:ascii="Times New Roman" w:eastAsia="方正仿宋_GB2312" w:hAnsi="Times New Roman" w:cs="Times New Roman" w:hint="eastAsia"/>
          <w:snapToGrid w:val="0"/>
          <w:sz w:val="28"/>
          <w:szCs w:val="28"/>
        </w:rPr>
        <w:t>6</w:t>
      </w:r>
      <w:r>
        <w:rPr>
          <w:rFonts w:ascii="Times New Roman" w:eastAsia="方正仿宋_GB2312" w:hAnsi="Times New Roman" w:cs="Times New Roman"/>
          <w:snapToGrid w:val="0"/>
          <w:sz w:val="28"/>
          <w:szCs w:val="28"/>
        </w:rPr>
        <w:t>、因履行本合同引起的或与本合同有关的争议，甲、乙双方应首先通过友好协商解决，如果协商不能解决争议，可以向甲方所在地人民法院提起诉讼。</w:t>
      </w:r>
    </w:p>
    <w:p w14:paraId="4B24943A" w14:textId="77777777" w:rsidR="00A5429A" w:rsidRDefault="00A5429A">
      <w:pPr>
        <w:rPr>
          <w:rFonts w:ascii="Times New Roman" w:eastAsia="方正仿宋_GB2312" w:hAnsi="Times New Roman" w:cs="Times New Roman"/>
          <w:szCs w:val="24"/>
        </w:rPr>
      </w:pPr>
    </w:p>
    <w:p w14:paraId="55575979" w14:textId="77777777" w:rsidR="00A5429A" w:rsidRDefault="00A5429A">
      <w:pPr>
        <w:rPr>
          <w:rFonts w:ascii="Times New Roman" w:eastAsia="方正仿宋_GB2312" w:hAnsi="Times New Roman" w:cs="Times New Roman"/>
          <w:szCs w:val="24"/>
        </w:rPr>
      </w:pPr>
    </w:p>
    <w:p w14:paraId="13106016" w14:textId="77777777" w:rsidR="00A5429A" w:rsidRDefault="00A5429A">
      <w:pPr>
        <w:pStyle w:val="Default"/>
      </w:pPr>
    </w:p>
    <w:p w14:paraId="7642D965" w14:textId="77777777" w:rsidR="00A5429A" w:rsidRDefault="00000000">
      <w:pPr>
        <w:widowControl/>
        <w:adjustRightInd/>
        <w:spacing w:line="240" w:lineRule="auto"/>
        <w:jc w:val="left"/>
        <w:textAlignment w:val="auto"/>
        <w:rPr>
          <w:rFonts w:ascii="Times New Roman" w:eastAsia="方正仿宋_GB2312" w:hAnsi="Times New Roman" w:cs="Times New Roman"/>
          <w:szCs w:val="24"/>
        </w:rPr>
      </w:pPr>
      <w:r>
        <w:rPr>
          <w:rFonts w:ascii="Times New Roman" w:eastAsia="方正仿宋_GB2312" w:hAnsi="Times New Roman" w:cs="Times New Roman"/>
          <w:szCs w:val="24"/>
        </w:rPr>
        <w:br w:type="page"/>
      </w:r>
    </w:p>
    <w:p w14:paraId="7D9AFABD" w14:textId="77777777" w:rsidR="00A5429A" w:rsidRDefault="00000000">
      <w:pPr>
        <w:rPr>
          <w:rFonts w:ascii="Times New Roman" w:eastAsia="方正仿宋_GB2312" w:hAnsi="Times New Roman" w:cs="Times New Roman"/>
          <w:szCs w:val="24"/>
        </w:rPr>
      </w:pPr>
      <w:r>
        <w:rPr>
          <w:rFonts w:ascii="Times New Roman" w:eastAsia="方正仿宋_GB2312" w:hAnsi="Times New Roman" w:cs="Times New Roman"/>
          <w:szCs w:val="24"/>
        </w:rPr>
        <w:lastRenderedPageBreak/>
        <w:t>此页无正文</w:t>
      </w:r>
    </w:p>
    <w:p w14:paraId="3D921906" w14:textId="77777777" w:rsidR="00A5429A" w:rsidRDefault="00A5429A">
      <w:pPr>
        <w:rPr>
          <w:rFonts w:ascii="Times New Roman" w:eastAsia="方正仿宋_GB2312" w:hAnsi="Times New Roman" w:cs="Times New Roman"/>
          <w:szCs w:val="24"/>
        </w:rPr>
      </w:pPr>
    </w:p>
    <w:p w14:paraId="28D6D878" w14:textId="77777777" w:rsidR="00A5429A" w:rsidRDefault="00000000">
      <w:pPr>
        <w:rPr>
          <w:rFonts w:ascii="Times New Roman" w:eastAsia="方正仿宋_GB2312" w:hAnsi="Times New Roman" w:cs="Times New Roman"/>
          <w:szCs w:val="24"/>
        </w:rPr>
      </w:pPr>
      <w:r>
        <w:rPr>
          <w:rFonts w:ascii="Times New Roman" w:eastAsia="方正仿宋_GB2312" w:hAnsi="Times New Roman" w:cs="Times New Roman"/>
          <w:szCs w:val="24"/>
        </w:rPr>
        <w:t xml:space="preserve"> </w:t>
      </w:r>
    </w:p>
    <w:p w14:paraId="553B2C8A" w14:textId="77777777" w:rsidR="00A5429A" w:rsidRDefault="00A5429A">
      <w:pPr>
        <w:spacing w:line="320" w:lineRule="exact"/>
        <w:rPr>
          <w:rFonts w:ascii="Times New Roman" w:eastAsia="方正仿宋_GB2312" w:hAnsi="Times New Roman" w:cs="Times New Roman"/>
          <w:snapToGrid w:val="0"/>
          <w:szCs w:val="21"/>
        </w:rPr>
      </w:pPr>
    </w:p>
    <w:p w14:paraId="5A2885C5" w14:textId="1532F523" w:rsidR="00A5429A" w:rsidRDefault="00000000">
      <w:pPr>
        <w:spacing w:line="320" w:lineRule="exact"/>
        <w:rPr>
          <w:rFonts w:eastAsia="方正仿宋_GB2312"/>
          <w:snapToGrid w:val="0"/>
          <w:sz w:val="21"/>
          <w:szCs w:val="21"/>
        </w:rPr>
      </w:pPr>
      <w:r>
        <w:rPr>
          <w:rFonts w:eastAsia="方正仿宋_GB2312"/>
          <w:snapToGrid w:val="0"/>
          <w:sz w:val="21"/>
          <w:szCs w:val="21"/>
        </w:rPr>
        <w:t>甲</w:t>
      </w:r>
      <w:r>
        <w:rPr>
          <w:rFonts w:eastAsia="方正仿宋_GB2312"/>
          <w:snapToGrid w:val="0"/>
          <w:sz w:val="21"/>
          <w:szCs w:val="21"/>
        </w:rPr>
        <w:t xml:space="preserve">      </w:t>
      </w:r>
      <w:r>
        <w:rPr>
          <w:rFonts w:eastAsia="方正仿宋_GB2312"/>
          <w:snapToGrid w:val="0"/>
          <w:sz w:val="21"/>
          <w:szCs w:val="21"/>
        </w:rPr>
        <w:t>方：</w:t>
      </w:r>
      <w:r>
        <w:rPr>
          <w:rFonts w:eastAsia="方正仿宋_GB2312" w:hint="eastAsia"/>
          <w:snapToGrid w:val="0"/>
          <w:sz w:val="21"/>
          <w:szCs w:val="21"/>
        </w:rPr>
        <w:t>常州市城市照明工程有限公司</w:t>
      </w:r>
      <w:r>
        <w:rPr>
          <w:rFonts w:eastAsia="方正仿宋_GB2312"/>
          <w:snapToGrid w:val="0"/>
          <w:sz w:val="21"/>
          <w:szCs w:val="21"/>
        </w:rPr>
        <w:t xml:space="preserve">   </w:t>
      </w:r>
      <w:r>
        <w:rPr>
          <w:rFonts w:eastAsia="方正仿宋_GB2312"/>
          <w:snapToGrid w:val="0"/>
          <w:sz w:val="21"/>
          <w:szCs w:val="21"/>
        </w:rPr>
        <w:t>乙</w:t>
      </w:r>
      <w:r>
        <w:rPr>
          <w:rFonts w:eastAsia="方正仿宋_GB2312"/>
          <w:snapToGrid w:val="0"/>
          <w:sz w:val="21"/>
          <w:szCs w:val="21"/>
        </w:rPr>
        <w:t xml:space="preserve">     </w:t>
      </w:r>
      <w:r>
        <w:rPr>
          <w:rFonts w:eastAsia="方正仿宋_GB2312"/>
          <w:snapToGrid w:val="0"/>
          <w:sz w:val="21"/>
          <w:szCs w:val="21"/>
        </w:rPr>
        <w:t>方：</w:t>
      </w:r>
      <w:r w:rsidR="00EA496C">
        <w:rPr>
          <w:rFonts w:eastAsia="方正仿宋_GB2312" w:hint="eastAsia"/>
          <w:snapToGrid w:val="0"/>
          <w:sz w:val="21"/>
          <w:szCs w:val="21"/>
        </w:rPr>
        <w:t xml:space="preserve"> </w:t>
      </w:r>
    </w:p>
    <w:p w14:paraId="5FA0B606" w14:textId="77777777" w:rsidR="00A5429A" w:rsidRDefault="00000000">
      <w:pPr>
        <w:spacing w:line="320" w:lineRule="exact"/>
        <w:rPr>
          <w:rFonts w:eastAsia="方正仿宋_GB2312"/>
          <w:snapToGrid w:val="0"/>
          <w:sz w:val="21"/>
          <w:szCs w:val="21"/>
        </w:rPr>
      </w:pPr>
      <w:r>
        <w:rPr>
          <w:rFonts w:eastAsia="方正仿宋_GB2312"/>
          <w:snapToGrid w:val="0"/>
          <w:sz w:val="21"/>
          <w:szCs w:val="21"/>
        </w:rPr>
        <w:t>单位名称（章）：</w:t>
      </w:r>
      <w:r>
        <w:rPr>
          <w:rFonts w:eastAsia="方正仿宋_GB2312" w:hint="eastAsia"/>
          <w:snapToGrid w:val="0"/>
          <w:sz w:val="21"/>
          <w:szCs w:val="21"/>
        </w:rPr>
        <w:t xml:space="preserve">                          </w:t>
      </w:r>
      <w:r>
        <w:rPr>
          <w:rFonts w:eastAsia="方正仿宋_GB2312"/>
          <w:snapToGrid w:val="0"/>
          <w:sz w:val="21"/>
          <w:szCs w:val="21"/>
        </w:rPr>
        <w:t>单位名称（章）：</w:t>
      </w:r>
    </w:p>
    <w:p w14:paraId="3373EDC1" w14:textId="77777777" w:rsidR="00A5429A" w:rsidRDefault="00000000">
      <w:pPr>
        <w:spacing w:line="320" w:lineRule="exact"/>
        <w:rPr>
          <w:rFonts w:eastAsia="方正仿宋_GB2312"/>
          <w:snapToGrid w:val="0"/>
          <w:sz w:val="21"/>
          <w:szCs w:val="21"/>
        </w:rPr>
      </w:pPr>
      <w:r>
        <w:rPr>
          <w:rFonts w:eastAsia="方正仿宋_GB2312"/>
          <w:snapToGrid w:val="0"/>
          <w:sz w:val="21"/>
          <w:szCs w:val="21"/>
        </w:rPr>
        <w:t xml:space="preserve">                       </w:t>
      </w:r>
      <w:r>
        <w:rPr>
          <w:rFonts w:eastAsia="方正仿宋_GB2312" w:hint="eastAsia"/>
          <w:snapToGrid w:val="0"/>
          <w:sz w:val="21"/>
          <w:szCs w:val="21"/>
        </w:rPr>
        <w:t xml:space="preserve">             </w:t>
      </w:r>
    </w:p>
    <w:p w14:paraId="0174DC55" w14:textId="2B84D829" w:rsidR="00A5429A" w:rsidRDefault="00000000">
      <w:pPr>
        <w:tabs>
          <w:tab w:val="left" w:pos="5115"/>
        </w:tabs>
        <w:spacing w:line="320" w:lineRule="exact"/>
        <w:ind w:left="4410" w:hangingChars="2100" w:hanging="4410"/>
        <w:rPr>
          <w:rFonts w:eastAsia="方正仿宋_GB2312"/>
          <w:snapToGrid w:val="0"/>
          <w:sz w:val="18"/>
          <w:szCs w:val="18"/>
        </w:rPr>
      </w:pPr>
      <w:r>
        <w:rPr>
          <w:rFonts w:eastAsia="方正仿宋_GB2312"/>
          <w:snapToGrid w:val="0"/>
          <w:sz w:val="21"/>
          <w:szCs w:val="21"/>
        </w:rPr>
        <w:t>单位地址</w:t>
      </w:r>
      <w:r>
        <w:rPr>
          <w:rFonts w:eastAsia="方正仿宋_GB2312" w:hint="eastAsia"/>
          <w:snapToGrid w:val="0"/>
          <w:sz w:val="21"/>
          <w:szCs w:val="21"/>
        </w:rPr>
        <w:t>：常州市新北区河海西路</w:t>
      </w:r>
      <w:r>
        <w:rPr>
          <w:rFonts w:eastAsia="方正仿宋_GB2312" w:hint="eastAsia"/>
          <w:snapToGrid w:val="0"/>
          <w:sz w:val="21"/>
          <w:szCs w:val="21"/>
        </w:rPr>
        <w:t>520</w:t>
      </w:r>
      <w:r>
        <w:rPr>
          <w:rFonts w:eastAsia="方正仿宋_GB2312" w:hint="eastAsia"/>
          <w:snapToGrid w:val="0"/>
          <w:sz w:val="21"/>
          <w:szCs w:val="21"/>
        </w:rPr>
        <w:t>号</w:t>
      </w:r>
      <w:r>
        <w:rPr>
          <w:rFonts w:eastAsia="方正仿宋_GB2312"/>
          <w:snapToGrid w:val="0"/>
          <w:sz w:val="21"/>
          <w:szCs w:val="21"/>
        </w:rPr>
        <w:t xml:space="preserve">     </w:t>
      </w:r>
      <w:r>
        <w:rPr>
          <w:rFonts w:eastAsia="方正仿宋_GB2312" w:hint="eastAsia"/>
          <w:snapToGrid w:val="0"/>
          <w:sz w:val="21"/>
          <w:szCs w:val="21"/>
        </w:rPr>
        <w:t xml:space="preserve"> </w:t>
      </w:r>
      <w:r>
        <w:rPr>
          <w:rFonts w:eastAsia="方正仿宋_GB2312"/>
          <w:snapToGrid w:val="0"/>
          <w:sz w:val="21"/>
          <w:szCs w:val="21"/>
        </w:rPr>
        <w:t>单位地址：</w:t>
      </w:r>
      <w:r w:rsidR="00EA496C">
        <w:rPr>
          <w:rFonts w:eastAsia="方正仿宋_GB2312" w:hint="eastAsia"/>
          <w:snapToGrid w:val="0"/>
          <w:sz w:val="21"/>
          <w:szCs w:val="21"/>
        </w:rPr>
        <w:t xml:space="preserve"> </w:t>
      </w:r>
    </w:p>
    <w:p w14:paraId="7B356CD6" w14:textId="77777777" w:rsidR="00A5429A" w:rsidRDefault="00000000">
      <w:pPr>
        <w:rPr>
          <w:rFonts w:eastAsia="方正仿宋_GB2312"/>
          <w:sz w:val="21"/>
          <w:szCs w:val="21"/>
        </w:rPr>
      </w:pPr>
      <w:r>
        <w:rPr>
          <w:rFonts w:eastAsia="方正仿宋_GB2312"/>
          <w:sz w:val="21"/>
          <w:szCs w:val="21"/>
        </w:rPr>
        <w:t>法定代表人：</w:t>
      </w:r>
      <w:r>
        <w:rPr>
          <w:rFonts w:eastAsia="方正仿宋_GB2312"/>
          <w:sz w:val="21"/>
          <w:szCs w:val="21"/>
        </w:rPr>
        <w:t xml:space="preserve">                           </w:t>
      </w:r>
      <w:r>
        <w:rPr>
          <w:rFonts w:eastAsia="方正仿宋_GB2312" w:hint="eastAsia"/>
          <w:sz w:val="21"/>
          <w:szCs w:val="21"/>
        </w:rPr>
        <w:t xml:space="preserve">   </w:t>
      </w:r>
      <w:r>
        <w:rPr>
          <w:rFonts w:eastAsia="方正仿宋_GB2312"/>
          <w:sz w:val="21"/>
          <w:szCs w:val="21"/>
        </w:rPr>
        <w:t>法定代表人：</w:t>
      </w:r>
    </w:p>
    <w:p w14:paraId="4B9D4448" w14:textId="77777777" w:rsidR="00A5429A" w:rsidRDefault="00000000">
      <w:pPr>
        <w:rPr>
          <w:rFonts w:eastAsia="方正仿宋_GB2312"/>
          <w:sz w:val="21"/>
          <w:szCs w:val="21"/>
        </w:rPr>
      </w:pPr>
      <w:r>
        <w:rPr>
          <w:rFonts w:eastAsia="方正仿宋_GB2312"/>
          <w:sz w:val="21"/>
          <w:szCs w:val="21"/>
        </w:rPr>
        <w:t>或委托代理人：</w:t>
      </w:r>
      <w:r>
        <w:rPr>
          <w:rFonts w:eastAsia="方正仿宋_GB2312"/>
          <w:sz w:val="21"/>
          <w:szCs w:val="21"/>
        </w:rPr>
        <w:t xml:space="preserve">                         </w:t>
      </w:r>
      <w:r>
        <w:rPr>
          <w:rFonts w:eastAsia="方正仿宋_GB2312" w:hint="eastAsia"/>
          <w:sz w:val="21"/>
          <w:szCs w:val="21"/>
        </w:rPr>
        <w:t xml:space="preserve">   </w:t>
      </w:r>
      <w:r>
        <w:rPr>
          <w:rFonts w:eastAsia="方正仿宋_GB2312"/>
          <w:sz w:val="21"/>
          <w:szCs w:val="21"/>
        </w:rPr>
        <w:t>或委托代表人：</w:t>
      </w:r>
    </w:p>
    <w:p w14:paraId="6B514ACE" w14:textId="285829AE" w:rsidR="00A5429A" w:rsidRDefault="00000000">
      <w:pPr>
        <w:ind w:left="5460" w:hangingChars="2600" w:hanging="5460"/>
        <w:rPr>
          <w:rFonts w:eastAsia="方正仿宋_GB2312"/>
          <w:snapToGrid w:val="0"/>
          <w:sz w:val="21"/>
          <w:szCs w:val="21"/>
        </w:rPr>
      </w:pPr>
      <w:r>
        <w:rPr>
          <w:rFonts w:eastAsia="方正仿宋_GB2312"/>
          <w:sz w:val="21"/>
          <w:szCs w:val="21"/>
        </w:rPr>
        <w:t>开户银行：</w:t>
      </w:r>
      <w:r>
        <w:rPr>
          <w:rFonts w:eastAsia="方正仿宋_GB2312" w:hint="eastAsia"/>
          <w:snapToGrid w:val="0"/>
          <w:sz w:val="21"/>
          <w:szCs w:val="21"/>
        </w:rPr>
        <w:t>交通银行股份有限公司常州新区</w:t>
      </w:r>
      <w:r>
        <w:rPr>
          <w:rFonts w:eastAsia="方正仿宋_GB2312" w:hint="eastAsia"/>
          <w:snapToGrid w:val="0"/>
          <w:sz w:val="21"/>
          <w:szCs w:val="21"/>
        </w:rPr>
        <w:t xml:space="preserve">    </w:t>
      </w:r>
      <w:r>
        <w:rPr>
          <w:rFonts w:eastAsia="方正仿宋_GB2312"/>
          <w:sz w:val="21"/>
          <w:szCs w:val="21"/>
        </w:rPr>
        <w:t>开户银行：</w:t>
      </w:r>
      <w:r w:rsidR="00EA496C">
        <w:rPr>
          <w:rFonts w:eastAsia="方正仿宋_GB2312" w:hint="eastAsia"/>
          <w:snapToGrid w:val="0"/>
          <w:sz w:val="21"/>
          <w:szCs w:val="21"/>
        </w:rPr>
        <w:t xml:space="preserve"> </w:t>
      </w:r>
    </w:p>
    <w:p w14:paraId="28AFBA12" w14:textId="77777777" w:rsidR="00A5429A" w:rsidRDefault="00000000">
      <w:pPr>
        <w:rPr>
          <w:rFonts w:eastAsia="方正仿宋_GB2312"/>
          <w:sz w:val="21"/>
          <w:szCs w:val="21"/>
        </w:rPr>
      </w:pPr>
      <w:r>
        <w:rPr>
          <w:rFonts w:eastAsia="方正仿宋_GB2312" w:hint="eastAsia"/>
          <w:snapToGrid w:val="0"/>
          <w:sz w:val="21"/>
          <w:szCs w:val="21"/>
        </w:rPr>
        <w:t>支行</w:t>
      </w:r>
      <w:r>
        <w:rPr>
          <w:rFonts w:eastAsia="方正仿宋_GB2312"/>
          <w:snapToGrid w:val="0"/>
          <w:sz w:val="21"/>
          <w:szCs w:val="21"/>
        </w:rPr>
        <w:t xml:space="preserve"> </w:t>
      </w:r>
      <w:r>
        <w:rPr>
          <w:rFonts w:eastAsia="方正仿宋_GB2312"/>
          <w:sz w:val="21"/>
          <w:szCs w:val="21"/>
        </w:rPr>
        <w:t xml:space="preserve">                           </w:t>
      </w:r>
      <w:r>
        <w:rPr>
          <w:rFonts w:eastAsia="方正仿宋_GB2312" w:hint="eastAsia"/>
          <w:sz w:val="21"/>
          <w:szCs w:val="21"/>
        </w:rPr>
        <w:t xml:space="preserve">          </w:t>
      </w:r>
    </w:p>
    <w:p w14:paraId="78821A7B" w14:textId="164637C8" w:rsidR="00A5429A" w:rsidRDefault="00000000">
      <w:pPr>
        <w:rPr>
          <w:rFonts w:eastAsia="方正仿宋_GB2312"/>
          <w:sz w:val="21"/>
          <w:szCs w:val="21"/>
        </w:rPr>
      </w:pPr>
      <w:r>
        <w:rPr>
          <w:rFonts w:eastAsia="方正仿宋_GB2312"/>
          <w:sz w:val="21"/>
          <w:szCs w:val="21"/>
        </w:rPr>
        <w:t>银行帐号：</w:t>
      </w:r>
      <w:r>
        <w:rPr>
          <w:rFonts w:eastAsia="方正仿宋_GB2312" w:hint="eastAsia"/>
          <w:snapToGrid w:val="0"/>
          <w:sz w:val="21"/>
          <w:szCs w:val="21"/>
        </w:rPr>
        <w:t xml:space="preserve">324006040010141017030 </w:t>
      </w:r>
      <w:r>
        <w:rPr>
          <w:rFonts w:eastAsia="方正仿宋_GB2312"/>
          <w:sz w:val="21"/>
          <w:szCs w:val="21"/>
        </w:rPr>
        <w:t xml:space="preserve">          </w:t>
      </w:r>
      <w:r>
        <w:rPr>
          <w:rFonts w:eastAsia="方正仿宋_GB2312"/>
          <w:sz w:val="21"/>
          <w:szCs w:val="21"/>
        </w:rPr>
        <w:t>银行帐号：</w:t>
      </w:r>
      <w:r w:rsidR="00EA496C">
        <w:rPr>
          <w:rFonts w:eastAsia="方正仿宋_GB2312" w:hint="eastAsia"/>
          <w:snapToGrid w:val="0"/>
          <w:sz w:val="21"/>
          <w:szCs w:val="21"/>
        </w:rPr>
        <w:t xml:space="preserve"> </w:t>
      </w:r>
    </w:p>
    <w:p w14:paraId="616954FA" w14:textId="77777777" w:rsidR="00EA496C" w:rsidRDefault="00000000">
      <w:pPr>
        <w:rPr>
          <w:rFonts w:eastAsia="方正仿宋_GB2312"/>
          <w:sz w:val="21"/>
          <w:szCs w:val="21"/>
        </w:rPr>
      </w:pPr>
      <w:r>
        <w:rPr>
          <w:rFonts w:eastAsia="方正仿宋_GB2312"/>
          <w:sz w:val="21"/>
          <w:szCs w:val="21"/>
        </w:rPr>
        <w:t>电</w:t>
      </w:r>
      <w:r>
        <w:rPr>
          <w:rFonts w:eastAsia="方正仿宋_GB2312"/>
          <w:sz w:val="21"/>
          <w:szCs w:val="21"/>
        </w:rPr>
        <w:t xml:space="preserve">    </w:t>
      </w:r>
      <w:r>
        <w:rPr>
          <w:rFonts w:eastAsia="方正仿宋_GB2312"/>
          <w:sz w:val="21"/>
          <w:szCs w:val="21"/>
        </w:rPr>
        <w:t>话：</w:t>
      </w:r>
      <w:r>
        <w:rPr>
          <w:rFonts w:eastAsia="方正仿宋_GB2312" w:hint="eastAsia"/>
          <w:snapToGrid w:val="0"/>
          <w:sz w:val="21"/>
          <w:szCs w:val="21"/>
        </w:rPr>
        <w:t xml:space="preserve">0519-82006885 </w:t>
      </w:r>
      <w:r>
        <w:rPr>
          <w:rFonts w:eastAsia="方正仿宋_GB2312"/>
          <w:sz w:val="21"/>
          <w:szCs w:val="21"/>
        </w:rPr>
        <w:t xml:space="preserve">                  </w:t>
      </w:r>
      <w:r>
        <w:rPr>
          <w:rFonts w:eastAsia="方正仿宋_GB2312"/>
          <w:sz w:val="21"/>
          <w:szCs w:val="21"/>
        </w:rPr>
        <w:t>电</w:t>
      </w:r>
      <w:r>
        <w:rPr>
          <w:rFonts w:eastAsia="方正仿宋_GB2312"/>
          <w:sz w:val="21"/>
          <w:szCs w:val="21"/>
        </w:rPr>
        <w:t xml:space="preserve">    </w:t>
      </w:r>
      <w:r>
        <w:rPr>
          <w:rFonts w:eastAsia="方正仿宋_GB2312"/>
          <w:sz w:val="21"/>
          <w:szCs w:val="21"/>
        </w:rPr>
        <w:t>话：</w:t>
      </w:r>
    </w:p>
    <w:p w14:paraId="623A4F8B" w14:textId="77777777" w:rsidR="00EA496C" w:rsidRDefault="00EA496C">
      <w:pPr>
        <w:rPr>
          <w:rFonts w:eastAsia="方正仿宋_GB2312"/>
          <w:sz w:val="21"/>
          <w:szCs w:val="21"/>
        </w:rPr>
      </w:pPr>
    </w:p>
    <w:p w14:paraId="323EC7A3" w14:textId="20EDEA18" w:rsidR="00A5429A" w:rsidRDefault="00EA496C">
      <w:pPr>
        <w:rPr>
          <w:rFonts w:eastAsia="方正仿宋_GB2312"/>
          <w:snapToGrid w:val="0"/>
          <w:sz w:val="21"/>
          <w:szCs w:val="21"/>
        </w:rPr>
      </w:pPr>
      <w:r>
        <w:rPr>
          <w:rFonts w:eastAsia="方正仿宋_GB2312" w:hint="eastAsia"/>
          <w:snapToGrid w:val="0"/>
          <w:sz w:val="21"/>
          <w:szCs w:val="21"/>
        </w:rPr>
        <w:t xml:space="preserve"> </w:t>
      </w:r>
    </w:p>
    <w:p w14:paraId="2D7D81DF" w14:textId="77777777" w:rsidR="00A5429A" w:rsidRDefault="00A5429A">
      <w:pPr>
        <w:snapToGrid w:val="0"/>
        <w:spacing w:line="360" w:lineRule="auto"/>
        <w:rPr>
          <w:rFonts w:ascii="宋体" w:hAnsi="宋体" w:cs="宋体" w:hint="eastAsia"/>
          <w:szCs w:val="24"/>
        </w:rPr>
        <w:sectPr w:rsidR="00A5429A">
          <w:pgSz w:w="11906" w:h="16838"/>
          <w:pgMar w:top="1440" w:right="1800" w:bottom="1440" w:left="1800" w:header="851" w:footer="992" w:gutter="0"/>
          <w:cols w:space="425"/>
          <w:docGrid w:type="lines" w:linePitch="312"/>
        </w:sectPr>
      </w:pPr>
    </w:p>
    <w:p w14:paraId="42EC10B1" w14:textId="77777777" w:rsidR="00A5429A" w:rsidRDefault="00000000">
      <w:pPr>
        <w:rPr>
          <w:szCs w:val="24"/>
        </w:rPr>
      </w:pPr>
      <w:r>
        <w:rPr>
          <w:rFonts w:hint="eastAsia"/>
          <w:szCs w:val="24"/>
        </w:rPr>
        <w:lastRenderedPageBreak/>
        <w:t>附表：报价清单</w:t>
      </w:r>
    </w:p>
    <w:tbl>
      <w:tblPr>
        <w:tblW w:w="5000" w:type="pct"/>
        <w:tblLook w:val="04A0" w:firstRow="1" w:lastRow="0" w:firstColumn="1" w:lastColumn="0" w:noHBand="0" w:noVBand="1"/>
      </w:tblPr>
      <w:tblGrid>
        <w:gridCol w:w="576"/>
        <w:gridCol w:w="1756"/>
        <w:gridCol w:w="437"/>
        <w:gridCol w:w="437"/>
        <w:gridCol w:w="437"/>
        <w:gridCol w:w="437"/>
        <w:gridCol w:w="437"/>
        <w:gridCol w:w="1976"/>
        <w:gridCol w:w="1443"/>
        <w:gridCol w:w="592"/>
        <w:gridCol w:w="646"/>
        <w:gridCol w:w="1587"/>
        <w:gridCol w:w="1208"/>
        <w:gridCol w:w="1420"/>
        <w:gridCol w:w="785"/>
      </w:tblGrid>
      <w:tr w:rsidR="00A5429A" w14:paraId="422D0627" w14:textId="77777777">
        <w:trPr>
          <w:trHeight w:val="795"/>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tcPr>
          <w:p w14:paraId="7549377B"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序号</w:t>
            </w:r>
          </w:p>
        </w:tc>
        <w:tc>
          <w:tcPr>
            <w:tcW w:w="619" w:type="pct"/>
            <w:tcBorders>
              <w:top w:val="single" w:sz="4" w:space="0" w:color="auto"/>
              <w:left w:val="nil"/>
              <w:bottom w:val="single" w:sz="4" w:space="0" w:color="auto"/>
              <w:right w:val="single" w:sz="4" w:space="0" w:color="auto"/>
            </w:tcBorders>
            <w:shd w:val="clear" w:color="auto" w:fill="auto"/>
            <w:vAlign w:val="center"/>
          </w:tcPr>
          <w:p w14:paraId="14E25A14"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名称</w:t>
            </w:r>
          </w:p>
        </w:tc>
        <w:tc>
          <w:tcPr>
            <w:tcW w:w="154" w:type="pct"/>
            <w:tcBorders>
              <w:top w:val="single" w:sz="4" w:space="0" w:color="auto"/>
              <w:left w:val="nil"/>
              <w:bottom w:val="single" w:sz="4" w:space="0" w:color="auto"/>
              <w:right w:val="single" w:sz="4" w:space="0" w:color="auto"/>
            </w:tcBorders>
            <w:shd w:val="clear" w:color="auto" w:fill="auto"/>
            <w:vAlign w:val="center"/>
          </w:tcPr>
          <w:p w14:paraId="4AA6766D"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品牌</w:t>
            </w:r>
          </w:p>
        </w:tc>
        <w:tc>
          <w:tcPr>
            <w:tcW w:w="154" w:type="pct"/>
            <w:tcBorders>
              <w:top w:val="single" w:sz="4" w:space="0" w:color="auto"/>
              <w:left w:val="nil"/>
              <w:bottom w:val="single" w:sz="4" w:space="0" w:color="auto"/>
              <w:right w:val="single" w:sz="4" w:space="0" w:color="auto"/>
            </w:tcBorders>
            <w:shd w:val="clear" w:color="auto" w:fill="auto"/>
            <w:vAlign w:val="center"/>
          </w:tcPr>
          <w:p w14:paraId="6F1A002C"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制造商</w:t>
            </w:r>
          </w:p>
        </w:tc>
        <w:tc>
          <w:tcPr>
            <w:tcW w:w="154" w:type="pct"/>
            <w:tcBorders>
              <w:top w:val="single" w:sz="4" w:space="0" w:color="auto"/>
              <w:left w:val="nil"/>
              <w:bottom w:val="single" w:sz="4" w:space="0" w:color="auto"/>
              <w:right w:val="single" w:sz="4" w:space="0" w:color="auto"/>
            </w:tcBorders>
            <w:shd w:val="clear" w:color="auto" w:fill="auto"/>
            <w:vAlign w:val="center"/>
          </w:tcPr>
          <w:p w14:paraId="53858A40"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基本功能</w:t>
            </w:r>
          </w:p>
        </w:tc>
        <w:tc>
          <w:tcPr>
            <w:tcW w:w="154" w:type="pct"/>
            <w:tcBorders>
              <w:top w:val="single" w:sz="4" w:space="0" w:color="auto"/>
              <w:left w:val="nil"/>
              <w:bottom w:val="single" w:sz="4" w:space="0" w:color="auto"/>
              <w:right w:val="single" w:sz="4" w:space="0" w:color="auto"/>
            </w:tcBorders>
            <w:shd w:val="clear" w:color="auto" w:fill="auto"/>
            <w:vAlign w:val="center"/>
          </w:tcPr>
          <w:p w14:paraId="4515933D"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调光功能</w:t>
            </w:r>
          </w:p>
        </w:tc>
        <w:tc>
          <w:tcPr>
            <w:tcW w:w="154" w:type="pct"/>
            <w:tcBorders>
              <w:top w:val="single" w:sz="4" w:space="0" w:color="auto"/>
              <w:left w:val="nil"/>
              <w:bottom w:val="single" w:sz="4" w:space="0" w:color="auto"/>
              <w:right w:val="single" w:sz="4" w:space="0" w:color="auto"/>
            </w:tcBorders>
            <w:shd w:val="clear" w:color="auto" w:fill="auto"/>
            <w:vAlign w:val="center"/>
          </w:tcPr>
          <w:p w14:paraId="67BE6AC4"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漏电监测功能</w:t>
            </w:r>
          </w:p>
        </w:tc>
        <w:tc>
          <w:tcPr>
            <w:tcW w:w="697" w:type="pct"/>
            <w:tcBorders>
              <w:top w:val="single" w:sz="4" w:space="0" w:color="auto"/>
              <w:left w:val="nil"/>
              <w:bottom w:val="single" w:sz="4" w:space="0" w:color="auto"/>
              <w:right w:val="single" w:sz="4" w:space="0" w:color="auto"/>
            </w:tcBorders>
            <w:shd w:val="clear" w:color="auto" w:fill="auto"/>
            <w:vAlign w:val="center"/>
          </w:tcPr>
          <w:p w14:paraId="0F12D8B8"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材料编码</w:t>
            </w:r>
          </w:p>
        </w:tc>
        <w:tc>
          <w:tcPr>
            <w:tcW w:w="509" w:type="pct"/>
            <w:tcBorders>
              <w:top w:val="single" w:sz="4" w:space="0" w:color="auto"/>
              <w:left w:val="nil"/>
              <w:bottom w:val="single" w:sz="4" w:space="0" w:color="auto"/>
              <w:right w:val="single" w:sz="4" w:space="0" w:color="auto"/>
            </w:tcBorders>
            <w:shd w:val="clear" w:color="auto" w:fill="auto"/>
            <w:vAlign w:val="center"/>
          </w:tcPr>
          <w:p w14:paraId="6110B374"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产品参数</w:t>
            </w:r>
          </w:p>
        </w:tc>
        <w:tc>
          <w:tcPr>
            <w:tcW w:w="209" w:type="pct"/>
            <w:tcBorders>
              <w:top w:val="single" w:sz="4" w:space="0" w:color="auto"/>
              <w:left w:val="nil"/>
              <w:bottom w:val="single" w:sz="4" w:space="0" w:color="auto"/>
              <w:right w:val="single" w:sz="4" w:space="0" w:color="auto"/>
            </w:tcBorders>
            <w:shd w:val="clear" w:color="auto" w:fill="auto"/>
            <w:vAlign w:val="center"/>
          </w:tcPr>
          <w:p w14:paraId="58C15436"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单位</w:t>
            </w:r>
          </w:p>
        </w:tc>
        <w:tc>
          <w:tcPr>
            <w:tcW w:w="226" w:type="pct"/>
            <w:tcBorders>
              <w:top w:val="single" w:sz="4" w:space="0" w:color="auto"/>
              <w:left w:val="nil"/>
              <w:bottom w:val="single" w:sz="4" w:space="0" w:color="auto"/>
              <w:right w:val="single" w:sz="4" w:space="0" w:color="auto"/>
            </w:tcBorders>
            <w:shd w:val="clear" w:color="auto" w:fill="auto"/>
            <w:vAlign w:val="center"/>
          </w:tcPr>
          <w:p w14:paraId="0BC88B1D"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数量</w:t>
            </w:r>
          </w:p>
        </w:tc>
        <w:tc>
          <w:tcPr>
            <w:tcW w:w="560" w:type="pct"/>
            <w:tcBorders>
              <w:top w:val="single" w:sz="4" w:space="0" w:color="auto"/>
              <w:left w:val="nil"/>
              <w:bottom w:val="single" w:sz="4" w:space="0" w:color="auto"/>
              <w:right w:val="single" w:sz="4" w:space="0" w:color="auto"/>
            </w:tcBorders>
            <w:shd w:val="clear" w:color="auto" w:fill="auto"/>
            <w:vAlign w:val="center"/>
          </w:tcPr>
          <w:p w14:paraId="278D95CD" w14:textId="77777777" w:rsidR="00A5429A" w:rsidRDefault="00000000">
            <w:pPr>
              <w:widowControl/>
              <w:adjustRightInd/>
              <w:spacing w:line="240" w:lineRule="auto"/>
              <w:jc w:val="center"/>
              <w:textAlignment w:val="auto"/>
              <w:rPr>
                <w:rFonts w:ascii="宋体" w:eastAsia="宋体" w:hAnsi="宋体" w:cs="Arial" w:hint="eastAsia"/>
                <w:b/>
                <w:bCs/>
                <w:color w:val="000000"/>
                <w:sz w:val="22"/>
              </w:rPr>
            </w:pPr>
            <w:r>
              <w:rPr>
                <w:rFonts w:ascii="宋体" w:eastAsia="宋体" w:hAnsi="宋体" w:cs="Arial" w:hint="eastAsia"/>
                <w:b/>
                <w:bCs/>
                <w:color w:val="000000"/>
                <w:sz w:val="22"/>
              </w:rPr>
              <w:t>含</w:t>
            </w:r>
            <w:proofErr w:type="gramStart"/>
            <w:r>
              <w:rPr>
                <w:rFonts w:ascii="宋体" w:eastAsia="宋体" w:hAnsi="宋体" w:cs="Arial" w:hint="eastAsia"/>
                <w:b/>
                <w:bCs/>
                <w:color w:val="000000"/>
                <w:sz w:val="22"/>
              </w:rPr>
              <w:t>税单价报价</w:t>
            </w:r>
            <w:proofErr w:type="gramEnd"/>
            <w:r>
              <w:rPr>
                <w:rFonts w:ascii="宋体" w:eastAsia="宋体" w:hAnsi="宋体" w:cs="Arial" w:hint="eastAsia"/>
                <w:b/>
                <w:bCs/>
                <w:color w:val="000000"/>
                <w:sz w:val="22"/>
              </w:rPr>
              <w:t>（元）</w:t>
            </w:r>
          </w:p>
        </w:tc>
        <w:tc>
          <w:tcPr>
            <w:tcW w:w="426" w:type="pct"/>
            <w:tcBorders>
              <w:top w:val="single" w:sz="4" w:space="0" w:color="auto"/>
              <w:left w:val="nil"/>
              <w:bottom w:val="single" w:sz="4" w:space="0" w:color="auto"/>
              <w:right w:val="single" w:sz="4" w:space="0" w:color="auto"/>
            </w:tcBorders>
            <w:shd w:val="clear" w:color="auto" w:fill="auto"/>
            <w:vAlign w:val="center"/>
          </w:tcPr>
          <w:p w14:paraId="7DB8B123" w14:textId="77777777" w:rsidR="00A5429A" w:rsidRDefault="00000000">
            <w:pPr>
              <w:widowControl/>
              <w:adjustRightInd/>
              <w:spacing w:line="240" w:lineRule="auto"/>
              <w:jc w:val="center"/>
              <w:textAlignment w:val="auto"/>
              <w:rPr>
                <w:rFonts w:ascii="宋体" w:eastAsia="宋体" w:hAnsi="宋体" w:cs="Arial" w:hint="eastAsia"/>
                <w:b/>
                <w:bCs/>
                <w:szCs w:val="24"/>
              </w:rPr>
            </w:pPr>
            <w:r>
              <w:rPr>
                <w:rFonts w:ascii="宋体" w:eastAsia="宋体" w:hAnsi="宋体" w:cs="Arial" w:hint="eastAsia"/>
                <w:b/>
                <w:bCs/>
                <w:szCs w:val="24"/>
              </w:rPr>
              <w:t>税率（%）</w:t>
            </w:r>
          </w:p>
        </w:tc>
        <w:tc>
          <w:tcPr>
            <w:tcW w:w="501" w:type="pct"/>
            <w:tcBorders>
              <w:top w:val="single" w:sz="4" w:space="0" w:color="auto"/>
              <w:left w:val="nil"/>
              <w:bottom w:val="single" w:sz="4" w:space="0" w:color="auto"/>
              <w:right w:val="single" w:sz="4" w:space="0" w:color="auto"/>
            </w:tcBorders>
            <w:shd w:val="clear" w:color="auto" w:fill="auto"/>
            <w:vAlign w:val="center"/>
          </w:tcPr>
          <w:p w14:paraId="3170797C" w14:textId="77777777" w:rsidR="00A5429A" w:rsidRDefault="00000000">
            <w:pPr>
              <w:widowControl/>
              <w:adjustRightInd/>
              <w:spacing w:line="240" w:lineRule="auto"/>
              <w:jc w:val="center"/>
              <w:textAlignment w:val="auto"/>
              <w:rPr>
                <w:rFonts w:ascii="宋体" w:eastAsia="宋体" w:hAnsi="宋体" w:cs="Arial" w:hint="eastAsia"/>
                <w:b/>
                <w:bCs/>
                <w:szCs w:val="24"/>
              </w:rPr>
            </w:pPr>
            <w:r>
              <w:rPr>
                <w:rFonts w:ascii="宋体" w:eastAsia="宋体" w:hAnsi="宋体" w:cs="Arial" w:hint="eastAsia"/>
                <w:b/>
                <w:bCs/>
                <w:szCs w:val="24"/>
              </w:rPr>
              <w:t>可控回路数</w:t>
            </w:r>
          </w:p>
        </w:tc>
        <w:tc>
          <w:tcPr>
            <w:tcW w:w="276" w:type="pct"/>
            <w:tcBorders>
              <w:top w:val="single" w:sz="4" w:space="0" w:color="auto"/>
              <w:left w:val="nil"/>
              <w:bottom w:val="single" w:sz="4" w:space="0" w:color="auto"/>
              <w:right w:val="single" w:sz="4" w:space="0" w:color="auto"/>
            </w:tcBorders>
            <w:shd w:val="clear" w:color="auto" w:fill="auto"/>
            <w:vAlign w:val="center"/>
          </w:tcPr>
          <w:p w14:paraId="42F167EF"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b/>
                <w:bCs/>
                <w:sz w:val="22"/>
              </w:rPr>
              <w:t>备注</w:t>
            </w:r>
          </w:p>
        </w:tc>
      </w:tr>
      <w:tr w:rsidR="00A5429A" w14:paraId="0C4528FD" w14:textId="77777777">
        <w:trPr>
          <w:trHeight w:val="1210"/>
        </w:trPr>
        <w:tc>
          <w:tcPr>
            <w:tcW w:w="203" w:type="pct"/>
            <w:tcBorders>
              <w:top w:val="nil"/>
              <w:left w:val="single" w:sz="4" w:space="0" w:color="auto"/>
              <w:bottom w:val="single" w:sz="4" w:space="0" w:color="auto"/>
              <w:right w:val="single" w:sz="4" w:space="0" w:color="auto"/>
            </w:tcBorders>
            <w:shd w:val="clear" w:color="auto" w:fill="auto"/>
            <w:vAlign w:val="center"/>
          </w:tcPr>
          <w:p w14:paraId="5451E733" w14:textId="77777777" w:rsidR="00A5429A" w:rsidRDefault="00000000">
            <w:pPr>
              <w:widowControl/>
              <w:adjustRightInd/>
              <w:spacing w:line="240" w:lineRule="auto"/>
              <w:jc w:val="center"/>
              <w:textAlignment w:val="auto"/>
              <w:rPr>
                <w:rFonts w:ascii="宋体" w:eastAsia="宋体" w:hAnsi="宋体" w:cs="Arial" w:hint="eastAsia"/>
                <w:b/>
                <w:bCs/>
                <w:sz w:val="22"/>
              </w:rPr>
            </w:pPr>
            <w:r>
              <w:rPr>
                <w:rFonts w:ascii="宋体" w:eastAsia="宋体" w:hAnsi="宋体" w:cs="Arial" w:hint="eastAsia"/>
                <w:sz w:val="22"/>
              </w:rPr>
              <w:t>1</w:t>
            </w:r>
          </w:p>
        </w:tc>
        <w:tc>
          <w:tcPr>
            <w:tcW w:w="619" w:type="pct"/>
            <w:tcBorders>
              <w:top w:val="nil"/>
              <w:left w:val="nil"/>
              <w:bottom w:val="single" w:sz="4" w:space="0" w:color="auto"/>
              <w:right w:val="single" w:sz="4" w:space="0" w:color="auto"/>
            </w:tcBorders>
            <w:shd w:val="clear" w:color="auto" w:fill="auto"/>
            <w:vAlign w:val="center"/>
          </w:tcPr>
          <w:p w14:paraId="651F71FB" w14:textId="77777777" w:rsidR="00A5429A" w:rsidRDefault="00000000">
            <w:pPr>
              <w:widowControl/>
              <w:adjustRightInd/>
              <w:spacing w:line="240" w:lineRule="auto"/>
              <w:jc w:val="center"/>
              <w:textAlignment w:val="auto"/>
              <w:rPr>
                <w:rFonts w:ascii="宋体" w:eastAsia="宋体" w:hAnsi="宋体" w:cs="Arial" w:hint="eastAsia"/>
                <w:color w:val="000000"/>
                <w:sz w:val="21"/>
                <w:szCs w:val="21"/>
              </w:rPr>
            </w:pPr>
            <w:r>
              <w:rPr>
                <w:rFonts w:asciiTheme="minorEastAsia" w:hAnsiTheme="minorEastAsia" w:cs="仿宋" w:hint="eastAsia"/>
                <w:sz w:val="21"/>
                <w:szCs w:val="21"/>
              </w:rPr>
              <w:t>单灯控制器（4G-Cat.1）1控1</w:t>
            </w:r>
          </w:p>
        </w:tc>
        <w:tc>
          <w:tcPr>
            <w:tcW w:w="154" w:type="pct"/>
            <w:tcBorders>
              <w:top w:val="nil"/>
              <w:left w:val="nil"/>
              <w:bottom w:val="single" w:sz="4" w:space="0" w:color="auto"/>
              <w:right w:val="single" w:sz="4" w:space="0" w:color="auto"/>
            </w:tcBorders>
            <w:shd w:val="clear" w:color="auto" w:fill="auto"/>
            <w:vAlign w:val="center"/>
          </w:tcPr>
          <w:p w14:paraId="02649DF4" w14:textId="77777777" w:rsidR="00A5429A" w:rsidRDefault="00000000">
            <w:pPr>
              <w:widowControl/>
              <w:adjustRightInd/>
              <w:spacing w:line="240" w:lineRule="auto"/>
              <w:jc w:val="center"/>
              <w:textAlignment w:val="auto"/>
              <w:rPr>
                <w:rFonts w:ascii="宋体" w:eastAsia="宋体" w:hAnsi="宋体" w:cs="Arial" w:hint="eastAsia"/>
                <w:color w:val="000000"/>
                <w:sz w:val="21"/>
                <w:szCs w:val="21"/>
              </w:rPr>
            </w:pPr>
            <w:r>
              <w:rPr>
                <w:rFonts w:ascii="宋体" w:eastAsia="宋体" w:hAnsi="宋体" w:cs="Arial" w:hint="eastAsia"/>
                <w:color w:val="000000"/>
                <w:sz w:val="21"/>
                <w:szCs w:val="21"/>
              </w:rPr>
              <w:t xml:space="preserve">　</w:t>
            </w:r>
          </w:p>
        </w:tc>
        <w:tc>
          <w:tcPr>
            <w:tcW w:w="154" w:type="pct"/>
            <w:tcBorders>
              <w:top w:val="nil"/>
              <w:left w:val="nil"/>
              <w:bottom w:val="single" w:sz="4" w:space="0" w:color="auto"/>
              <w:right w:val="single" w:sz="4" w:space="0" w:color="auto"/>
            </w:tcBorders>
            <w:shd w:val="clear" w:color="auto" w:fill="auto"/>
            <w:vAlign w:val="center"/>
          </w:tcPr>
          <w:p w14:paraId="690C3F1A" w14:textId="77777777" w:rsidR="00A5429A" w:rsidRDefault="00000000">
            <w:pPr>
              <w:widowControl/>
              <w:adjustRightInd/>
              <w:spacing w:line="240" w:lineRule="auto"/>
              <w:jc w:val="center"/>
              <w:textAlignment w:val="auto"/>
              <w:rPr>
                <w:rFonts w:ascii="宋体" w:eastAsia="宋体" w:hAnsi="宋体" w:cs="Arial" w:hint="eastAsia"/>
                <w:color w:val="000000"/>
                <w:sz w:val="21"/>
                <w:szCs w:val="21"/>
              </w:rPr>
            </w:pPr>
            <w:r>
              <w:rPr>
                <w:rFonts w:ascii="宋体" w:eastAsia="宋体" w:hAnsi="宋体" w:cs="Arial" w:hint="eastAsia"/>
                <w:color w:val="000000"/>
                <w:sz w:val="21"/>
                <w:szCs w:val="21"/>
              </w:rPr>
              <w:t xml:space="preserve">　</w:t>
            </w:r>
          </w:p>
        </w:tc>
        <w:tc>
          <w:tcPr>
            <w:tcW w:w="154" w:type="pct"/>
            <w:tcBorders>
              <w:top w:val="nil"/>
              <w:left w:val="nil"/>
              <w:bottom w:val="single" w:sz="4" w:space="0" w:color="auto"/>
              <w:right w:val="single" w:sz="4" w:space="0" w:color="auto"/>
            </w:tcBorders>
            <w:shd w:val="clear" w:color="auto" w:fill="auto"/>
            <w:vAlign w:val="center"/>
          </w:tcPr>
          <w:p w14:paraId="15DDC1C2"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154" w:type="pct"/>
            <w:tcBorders>
              <w:top w:val="nil"/>
              <w:left w:val="nil"/>
              <w:bottom w:val="single" w:sz="4" w:space="0" w:color="auto"/>
              <w:right w:val="single" w:sz="4" w:space="0" w:color="auto"/>
            </w:tcBorders>
            <w:shd w:val="clear" w:color="auto" w:fill="auto"/>
            <w:vAlign w:val="center"/>
          </w:tcPr>
          <w:p w14:paraId="775EFCE0"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154" w:type="pct"/>
            <w:tcBorders>
              <w:top w:val="nil"/>
              <w:left w:val="nil"/>
              <w:bottom w:val="single" w:sz="4" w:space="0" w:color="auto"/>
              <w:right w:val="single" w:sz="4" w:space="0" w:color="auto"/>
            </w:tcBorders>
            <w:shd w:val="clear" w:color="auto" w:fill="auto"/>
            <w:vAlign w:val="center"/>
          </w:tcPr>
          <w:p w14:paraId="12180F92"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697" w:type="pct"/>
            <w:tcBorders>
              <w:top w:val="nil"/>
              <w:left w:val="nil"/>
              <w:bottom w:val="single" w:sz="4" w:space="0" w:color="auto"/>
              <w:right w:val="single" w:sz="4" w:space="0" w:color="auto"/>
            </w:tcBorders>
            <w:shd w:val="clear" w:color="auto" w:fill="auto"/>
            <w:vAlign w:val="center"/>
          </w:tcPr>
          <w:p w14:paraId="401A009F"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0301020201000001</w:t>
            </w:r>
          </w:p>
        </w:tc>
        <w:tc>
          <w:tcPr>
            <w:tcW w:w="509" w:type="pct"/>
            <w:tcBorders>
              <w:top w:val="nil"/>
              <w:left w:val="nil"/>
              <w:bottom w:val="single" w:sz="4" w:space="0" w:color="auto"/>
              <w:right w:val="single" w:sz="4" w:space="0" w:color="auto"/>
            </w:tcBorders>
            <w:shd w:val="clear" w:color="auto" w:fill="auto"/>
            <w:vAlign w:val="center"/>
          </w:tcPr>
          <w:p w14:paraId="4096B086"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 xml:space="preserve">　</w:t>
            </w:r>
          </w:p>
        </w:tc>
        <w:tc>
          <w:tcPr>
            <w:tcW w:w="209" w:type="pct"/>
            <w:tcBorders>
              <w:top w:val="nil"/>
              <w:left w:val="nil"/>
              <w:bottom w:val="single" w:sz="4" w:space="0" w:color="auto"/>
              <w:right w:val="single" w:sz="4" w:space="0" w:color="auto"/>
            </w:tcBorders>
            <w:shd w:val="clear" w:color="auto" w:fill="auto"/>
            <w:vAlign w:val="center"/>
          </w:tcPr>
          <w:p w14:paraId="6FFED992"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套</w:t>
            </w:r>
          </w:p>
        </w:tc>
        <w:tc>
          <w:tcPr>
            <w:tcW w:w="226" w:type="pct"/>
            <w:tcBorders>
              <w:top w:val="nil"/>
              <w:left w:val="nil"/>
              <w:bottom w:val="single" w:sz="4" w:space="0" w:color="auto"/>
              <w:right w:val="single" w:sz="4" w:space="0" w:color="auto"/>
            </w:tcBorders>
            <w:shd w:val="clear" w:color="auto" w:fill="auto"/>
            <w:vAlign w:val="center"/>
          </w:tcPr>
          <w:p w14:paraId="1EEDAE87" w14:textId="77777777" w:rsidR="00A5429A" w:rsidRDefault="00A5429A">
            <w:pPr>
              <w:widowControl/>
              <w:adjustRightInd/>
              <w:spacing w:line="240" w:lineRule="auto"/>
              <w:jc w:val="center"/>
              <w:textAlignment w:val="auto"/>
              <w:rPr>
                <w:rFonts w:ascii="宋体" w:eastAsia="宋体" w:hAnsi="宋体" w:cs="Arial" w:hint="eastAsia"/>
                <w:color w:val="000000"/>
                <w:sz w:val="21"/>
                <w:szCs w:val="21"/>
              </w:rPr>
            </w:pPr>
          </w:p>
        </w:tc>
        <w:tc>
          <w:tcPr>
            <w:tcW w:w="560" w:type="pct"/>
            <w:tcBorders>
              <w:top w:val="nil"/>
              <w:left w:val="nil"/>
              <w:bottom w:val="single" w:sz="4" w:space="0" w:color="auto"/>
              <w:right w:val="single" w:sz="4" w:space="0" w:color="auto"/>
            </w:tcBorders>
            <w:shd w:val="clear" w:color="auto" w:fill="auto"/>
            <w:vAlign w:val="center"/>
          </w:tcPr>
          <w:p w14:paraId="1F4D2785"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426" w:type="pct"/>
            <w:vMerge w:val="restart"/>
            <w:tcBorders>
              <w:top w:val="nil"/>
              <w:left w:val="nil"/>
              <w:right w:val="single" w:sz="4" w:space="0" w:color="auto"/>
            </w:tcBorders>
            <w:shd w:val="clear" w:color="auto" w:fill="auto"/>
            <w:vAlign w:val="center"/>
          </w:tcPr>
          <w:p w14:paraId="6DF1CED0"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13</w:t>
            </w:r>
          </w:p>
        </w:tc>
        <w:tc>
          <w:tcPr>
            <w:tcW w:w="501" w:type="pct"/>
            <w:tcBorders>
              <w:top w:val="nil"/>
              <w:left w:val="nil"/>
              <w:bottom w:val="single" w:sz="4" w:space="0" w:color="auto"/>
              <w:right w:val="single" w:sz="4" w:space="0" w:color="auto"/>
            </w:tcBorders>
            <w:shd w:val="clear" w:color="auto" w:fill="auto"/>
            <w:vAlign w:val="center"/>
          </w:tcPr>
          <w:p w14:paraId="7097F5EC"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276" w:type="pct"/>
            <w:tcBorders>
              <w:top w:val="nil"/>
              <w:left w:val="nil"/>
              <w:bottom w:val="single" w:sz="4" w:space="0" w:color="auto"/>
              <w:right w:val="single" w:sz="4" w:space="0" w:color="auto"/>
            </w:tcBorders>
            <w:shd w:val="clear" w:color="auto" w:fill="auto"/>
            <w:vAlign w:val="center"/>
          </w:tcPr>
          <w:p w14:paraId="10C26263" w14:textId="77777777" w:rsidR="00A5429A" w:rsidRDefault="00A5429A">
            <w:pPr>
              <w:widowControl/>
              <w:adjustRightInd/>
              <w:spacing w:line="240" w:lineRule="auto"/>
              <w:jc w:val="center"/>
              <w:textAlignment w:val="auto"/>
              <w:rPr>
                <w:rFonts w:ascii="宋体" w:eastAsia="宋体" w:hAnsi="宋体" w:cs="Arial" w:hint="eastAsia"/>
                <w:sz w:val="22"/>
              </w:rPr>
            </w:pPr>
          </w:p>
        </w:tc>
      </w:tr>
      <w:tr w:rsidR="00A5429A" w14:paraId="0F94131C" w14:textId="77777777">
        <w:trPr>
          <w:trHeight w:val="1200"/>
        </w:trPr>
        <w:tc>
          <w:tcPr>
            <w:tcW w:w="203" w:type="pct"/>
            <w:tcBorders>
              <w:top w:val="nil"/>
              <w:left w:val="single" w:sz="4" w:space="0" w:color="auto"/>
              <w:bottom w:val="single" w:sz="4" w:space="0" w:color="auto"/>
              <w:right w:val="single" w:sz="4" w:space="0" w:color="auto"/>
            </w:tcBorders>
            <w:shd w:val="clear" w:color="auto" w:fill="auto"/>
            <w:vAlign w:val="center"/>
          </w:tcPr>
          <w:p w14:paraId="54422E27"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2</w:t>
            </w:r>
          </w:p>
        </w:tc>
        <w:tc>
          <w:tcPr>
            <w:tcW w:w="619" w:type="pct"/>
            <w:tcBorders>
              <w:top w:val="nil"/>
              <w:left w:val="nil"/>
              <w:bottom w:val="single" w:sz="4" w:space="0" w:color="auto"/>
              <w:right w:val="single" w:sz="4" w:space="0" w:color="auto"/>
            </w:tcBorders>
            <w:shd w:val="clear" w:color="auto" w:fill="auto"/>
            <w:vAlign w:val="center"/>
          </w:tcPr>
          <w:p w14:paraId="09F16982" w14:textId="77777777" w:rsidR="00A5429A" w:rsidRDefault="00000000">
            <w:pPr>
              <w:widowControl/>
              <w:adjustRightInd/>
              <w:spacing w:line="240" w:lineRule="auto"/>
              <w:jc w:val="center"/>
              <w:textAlignment w:val="auto"/>
              <w:rPr>
                <w:rFonts w:asciiTheme="minorEastAsia" w:hAnsiTheme="minorEastAsia" w:cs="仿宋" w:hint="eastAsia"/>
                <w:sz w:val="21"/>
                <w:szCs w:val="21"/>
              </w:rPr>
            </w:pPr>
            <w:r>
              <w:rPr>
                <w:rFonts w:asciiTheme="minorEastAsia" w:hAnsiTheme="minorEastAsia" w:cs="仿宋" w:hint="eastAsia"/>
                <w:sz w:val="21"/>
                <w:szCs w:val="21"/>
              </w:rPr>
              <w:t>单灯控制器（4G-Cat.1）1控2</w:t>
            </w:r>
          </w:p>
        </w:tc>
        <w:tc>
          <w:tcPr>
            <w:tcW w:w="154" w:type="pct"/>
            <w:tcBorders>
              <w:top w:val="nil"/>
              <w:left w:val="nil"/>
              <w:bottom w:val="single" w:sz="4" w:space="0" w:color="auto"/>
              <w:right w:val="single" w:sz="4" w:space="0" w:color="auto"/>
            </w:tcBorders>
            <w:shd w:val="clear" w:color="auto" w:fill="auto"/>
            <w:vAlign w:val="center"/>
          </w:tcPr>
          <w:p w14:paraId="0D6963D1" w14:textId="77777777" w:rsidR="00A5429A" w:rsidRDefault="00A5429A">
            <w:pPr>
              <w:widowControl/>
              <w:adjustRightInd/>
              <w:spacing w:line="240" w:lineRule="auto"/>
              <w:jc w:val="center"/>
              <w:textAlignment w:val="auto"/>
              <w:rPr>
                <w:rFonts w:ascii="宋体" w:eastAsia="宋体" w:hAnsi="宋体" w:cs="Arial" w:hint="eastAsia"/>
                <w:color w:val="000000"/>
                <w:sz w:val="21"/>
                <w:szCs w:val="21"/>
              </w:rPr>
            </w:pPr>
          </w:p>
        </w:tc>
        <w:tc>
          <w:tcPr>
            <w:tcW w:w="154" w:type="pct"/>
            <w:tcBorders>
              <w:top w:val="nil"/>
              <w:left w:val="nil"/>
              <w:bottom w:val="single" w:sz="4" w:space="0" w:color="auto"/>
              <w:right w:val="single" w:sz="4" w:space="0" w:color="auto"/>
            </w:tcBorders>
            <w:shd w:val="clear" w:color="auto" w:fill="auto"/>
            <w:vAlign w:val="center"/>
          </w:tcPr>
          <w:p w14:paraId="1F26F642" w14:textId="77777777" w:rsidR="00A5429A" w:rsidRDefault="00A5429A">
            <w:pPr>
              <w:widowControl/>
              <w:adjustRightInd/>
              <w:spacing w:line="240" w:lineRule="auto"/>
              <w:jc w:val="center"/>
              <w:textAlignment w:val="auto"/>
              <w:rPr>
                <w:rFonts w:ascii="宋体" w:eastAsia="宋体" w:hAnsi="宋体" w:cs="Arial" w:hint="eastAsia"/>
                <w:color w:val="000000"/>
                <w:sz w:val="21"/>
                <w:szCs w:val="21"/>
              </w:rPr>
            </w:pPr>
          </w:p>
        </w:tc>
        <w:tc>
          <w:tcPr>
            <w:tcW w:w="154" w:type="pct"/>
            <w:tcBorders>
              <w:top w:val="nil"/>
              <w:left w:val="nil"/>
              <w:bottom w:val="single" w:sz="4" w:space="0" w:color="auto"/>
              <w:right w:val="single" w:sz="4" w:space="0" w:color="auto"/>
            </w:tcBorders>
            <w:shd w:val="clear" w:color="auto" w:fill="auto"/>
            <w:vAlign w:val="center"/>
          </w:tcPr>
          <w:p w14:paraId="34C217B2"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154" w:type="pct"/>
            <w:tcBorders>
              <w:top w:val="nil"/>
              <w:left w:val="nil"/>
              <w:bottom w:val="single" w:sz="4" w:space="0" w:color="auto"/>
              <w:right w:val="single" w:sz="4" w:space="0" w:color="auto"/>
            </w:tcBorders>
            <w:shd w:val="clear" w:color="auto" w:fill="auto"/>
            <w:vAlign w:val="center"/>
          </w:tcPr>
          <w:p w14:paraId="1513D9B7"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154" w:type="pct"/>
            <w:tcBorders>
              <w:top w:val="nil"/>
              <w:left w:val="nil"/>
              <w:bottom w:val="single" w:sz="4" w:space="0" w:color="auto"/>
              <w:right w:val="single" w:sz="4" w:space="0" w:color="auto"/>
            </w:tcBorders>
            <w:shd w:val="clear" w:color="auto" w:fill="auto"/>
            <w:vAlign w:val="center"/>
          </w:tcPr>
          <w:p w14:paraId="3593F0FC"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w:t>
            </w:r>
          </w:p>
        </w:tc>
        <w:tc>
          <w:tcPr>
            <w:tcW w:w="697" w:type="pct"/>
            <w:tcBorders>
              <w:top w:val="nil"/>
              <w:left w:val="nil"/>
              <w:bottom w:val="single" w:sz="4" w:space="0" w:color="auto"/>
              <w:right w:val="single" w:sz="4" w:space="0" w:color="auto"/>
            </w:tcBorders>
            <w:shd w:val="clear" w:color="auto" w:fill="auto"/>
            <w:vAlign w:val="center"/>
          </w:tcPr>
          <w:p w14:paraId="0790D389"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0301020202000001</w:t>
            </w:r>
          </w:p>
        </w:tc>
        <w:tc>
          <w:tcPr>
            <w:tcW w:w="509" w:type="pct"/>
            <w:tcBorders>
              <w:top w:val="nil"/>
              <w:left w:val="nil"/>
              <w:bottom w:val="single" w:sz="4" w:space="0" w:color="auto"/>
              <w:right w:val="single" w:sz="4" w:space="0" w:color="auto"/>
            </w:tcBorders>
            <w:shd w:val="clear" w:color="auto" w:fill="auto"/>
            <w:vAlign w:val="center"/>
          </w:tcPr>
          <w:p w14:paraId="5A0FD608"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209" w:type="pct"/>
            <w:tcBorders>
              <w:top w:val="nil"/>
              <w:left w:val="nil"/>
              <w:bottom w:val="single" w:sz="4" w:space="0" w:color="auto"/>
              <w:right w:val="single" w:sz="4" w:space="0" w:color="auto"/>
            </w:tcBorders>
            <w:shd w:val="clear" w:color="auto" w:fill="auto"/>
            <w:vAlign w:val="center"/>
          </w:tcPr>
          <w:p w14:paraId="2C92D1A4" w14:textId="77777777" w:rsidR="00A5429A" w:rsidRDefault="00000000">
            <w:pPr>
              <w:widowControl/>
              <w:adjustRightInd/>
              <w:spacing w:line="240" w:lineRule="auto"/>
              <w:jc w:val="center"/>
              <w:textAlignment w:val="auto"/>
              <w:rPr>
                <w:rFonts w:ascii="宋体" w:eastAsia="宋体" w:hAnsi="宋体" w:cs="Arial" w:hint="eastAsia"/>
                <w:sz w:val="22"/>
              </w:rPr>
            </w:pPr>
            <w:r>
              <w:rPr>
                <w:rFonts w:ascii="宋体" w:eastAsia="宋体" w:hAnsi="宋体" w:cs="Arial" w:hint="eastAsia"/>
                <w:sz w:val="22"/>
              </w:rPr>
              <w:t>套</w:t>
            </w:r>
          </w:p>
        </w:tc>
        <w:tc>
          <w:tcPr>
            <w:tcW w:w="226" w:type="pct"/>
            <w:tcBorders>
              <w:top w:val="nil"/>
              <w:left w:val="nil"/>
              <w:bottom w:val="single" w:sz="4" w:space="0" w:color="auto"/>
              <w:right w:val="single" w:sz="4" w:space="0" w:color="auto"/>
            </w:tcBorders>
            <w:shd w:val="clear" w:color="auto" w:fill="auto"/>
            <w:vAlign w:val="center"/>
          </w:tcPr>
          <w:p w14:paraId="1781472A" w14:textId="77777777" w:rsidR="00A5429A" w:rsidRDefault="00A5429A">
            <w:pPr>
              <w:widowControl/>
              <w:adjustRightInd/>
              <w:spacing w:line="240" w:lineRule="auto"/>
              <w:jc w:val="center"/>
              <w:textAlignment w:val="auto"/>
              <w:rPr>
                <w:rFonts w:ascii="宋体" w:eastAsia="宋体" w:hAnsi="宋体" w:cs="Arial" w:hint="eastAsia"/>
                <w:color w:val="000000"/>
                <w:sz w:val="21"/>
                <w:szCs w:val="21"/>
              </w:rPr>
            </w:pPr>
          </w:p>
        </w:tc>
        <w:tc>
          <w:tcPr>
            <w:tcW w:w="560" w:type="pct"/>
            <w:tcBorders>
              <w:top w:val="nil"/>
              <w:left w:val="nil"/>
              <w:bottom w:val="single" w:sz="4" w:space="0" w:color="auto"/>
              <w:right w:val="single" w:sz="4" w:space="0" w:color="auto"/>
            </w:tcBorders>
            <w:shd w:val="clear" w:color="auto" w:fill="auto"/>
            <w:vAlign w:val="center"/>
          </w:tcPr>
          <w:p w14:paraId="5593CDC7"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426" w:type="pct"/>
            <w:vMerge/>
            <w:tcBorders>
              <w:left w:val="nil"/>
              <w:bottom w:val="single" w:sz="4" w:space="0" w:color="auto"/>
              <w:right w:val="single" w:sz="4" w:space="0" w:color="auto"/>
            </w:tcBorders>
            <w:shd w:val="clear" w:color="auto" w:fill="auto"/>
            <w:vAlign w:val="center"/>
          </w:tcPr>
          <w:p w14:paraId="224A3BFD"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501" w:type="pct"/>
            <w:tcBorders>
              <w:top w:val="nil"/>
              <w:left w:val="nil"/>
              <w:bottom w:val="single" w:sz="4" w:space="0" w:color="auto"/>
              <w:right w:val="single" w:sz="4" w:space="0" w:color="auto"/>
            </w:tcBorders>
            <w:shd w:val="clear" w:color="auto" w:fill="auto"/>
            <w:vAlign w:val="center"/>
          </w:tcPr>
          <w:p w14:paraId="14EC1395" w14:textId="77777777" w:rsidR="00A5429A" w:rsidRDefault="00A5429A">
            <w:pPr>
              <w:widowControl/>
              <w:adjustRightInd/>
              <w:spacing w:line="240" w:lineRule="auto"/>
              <w:jc w:val="center"/>
              <w:textAlignment w:val="auto"/>
              <w:rPr>
                <w:rFonts w:ascii="宋体" w:eastAsia="宋体" w:hAnsi="宋体" w:cs="Arial" w:hint="eastAsia"/>
                <w:sz w:val="22"/>
              </w:rPr>
            </w:pPr>
          </w:p>
        </w:tc>
        <w:tc>
          <w:tcPr>
            <w:tcW w:w="276" w:type="pct"/>
            <w:tcBorders>
              <w:top w:val="nil"/>
              <w:left w:val="nil"/>
              <w:bottom w:val="single" w:sz="4" w:space="0" w:color="auto"/>
              <w:right w:val="single" w:sz="4" w:space="0" w:color="auto"/>
            </w:tcBorders>
            <w:shd w:val="clear" w:color="auto" w:fill="auto"/>
            <w:vAlign w:val="center"/>
          </w:tcPr>
          <w:p w14:paraId="3FB7F739" w14:textId="77777777" w:rsidR="00A5429A" w:rsidRDefault="00A5429A">
            <w:pPr>
              <w:widowControl/>
              <w:adjustRightInd/>
              <w:spacing w:line="240" w:lineRule="auto"/>
              <w:jc w:val="center"/>
              <w:textAlignment w:val="auto"/>
              <w:rPr>
                <w:rFonts w:ascii="宋体" w:eastAsia="宋体" w:hAnsi="宋体" w:cs="Arial" w:hint="eastAsia"/>
                <w:sz w:val="22"/>
              </w:rPr>
            </w:pPr>
          </w:p>
        </w:tc>
      </w:tr>
      <w:tr w:rsidR="00A5429A" w14:paraId="1B809726" w14:textId="77777777">
        <w:trPr>
          <w:trHeight w:val="265"/>
        </w:trPr>
        <w:tc>
          <w:tcPr>
            <w:tcW w:w="3235" w:type="pct"/>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3EADE500" w14:textId="77777777" w:rsidR="00A5429A" w:rsidRDefault="00000000">
            <w:pPr>
              <w:widowControl/>
              <w:adjustRightInd/>
              <w:spacing w:line="240" w:lineRule="auto"/>
              <w:jc w:val="center"/>
              <w:textAlignment w:val="auto"/>
              <w:rPr>
                <w:rFonts w:ascii="宋体" w:eastAsia="宋体" w:hAnsi="宋体" w:cs="Arial" w:hint="eastAsia"/>
                <w:b/>
                <w:bCs/>
                <w:color w:val="000000"/>
                <w:sz w:val="22"/>
              </w:rPr>
            </w:pPr>
            <w:r>
              <w:rPr>
                <w:rFonts w:ascii="宋体" w:eastAsia="宋体" w:hAnsi="宋体" w:cs="Arial" w:hint="eastAsia"/>
                <w:b/>
                <w:bCs/>
                <w:color w:val="000000"/>
                <w:sz w:val="22"/>
              </w:rPr>
              <w:t>总价(含税)</w:t>
            </w:r>
          </w:p>
        </w:tc>
        <w:tc>
          <w:tcPr>
            <w:tcW w:w="1764" w:type="pct"/>
            <w:gridSpan w:val="4"/>
            <w:tcBorders>
              <w:top w:val="single" w:sz="4" w:space="0" w:color="auto"/>
              <w:left w:val="nil"/>
              <w:bottom w:val="single" w:sz="4" w:space="0" w:color="auto"/>
              <w:right w:val="single" w:sz="4" w:space="0" w:color="auto"/>
            </w:tcBorders>
            <w:shd w:val="clear" w:color="auto" w:fill="auto"/>
            <w:vAlign w:val="center"/>
          </w:tcPr>
          <w:p w14:paraId="303703F2" w14:textId="77777777" w:rsidR="00A5429A" w:rsidRDefault="00000000">
            <w:pPr>
              <w:widowControl/>
              <w:adjustRightInd/>
              <w:spacing w:line="240" w:lineRule="auto"/>
              <w:jc w:val="center"/>
              <w:textAlignment w:val="auto"/>
              <w:rPr>
                <w:rFonts w:ascii="宋体" w:eastAsia="宋体" w:hAnsi="宋体" w:cs="Arial" w:hint="eastAsia"/>
                <w:color w:val="000000"/>
                <w:sz w:val="20"/>
                <w:szCs w:val="20"/>
              </w:rPr>
            </w:pPr>
            <w:r>
              <w:rPr>
                <w:rFonts w:ascii="宋体" w:eastAsia="宋体" w:hAnsi="宋体" w:cs="Arial" w:hint="eastAsia"/>
                <w:color w:val="000000"/>
                <w:sz w:val="20"/>
                <w:szCs w:val="20"/>
              </w:rPr>
              <w:t xml:space="preserve">　</w:t>
            </w:r>
          </w:p>
          <w:p w14:paraId="499F37AD" w14:textId="77777777" w:rsidR="00A5429A" w:rsidRDefault="00000000">
            <w:pPr>
              <w:widowControl/>
              <w:adjustRightInd/>
              <w:spacing w:line="240" w:lineRule="auto"/>
              <w:jc w:val="center"/>
              <w:textAlignment w:val="auto"/>
              <w:rPr>
                <w:rFonts w:ascii="宋体" w:eastAsia="宋体" w:hAnsi="宋体" w:cs="Arial" w:hint="eastAsia"/>
                <w:color w:val="000000"/>
                <w:sz w:val="20"/>
                <w:szCs w:val="20"/>
              </w:rPr>
            </w:pPr>
            <w:r>
              <w:rPr>
                <w:rFonts w:ascii="宋体" w:eastAsia="宋体" w:hAnsi="宋体" w:cs="Arial" w:hint="eastAsia"/>
                <w:color w:val="000000"/>
                <w:sz w:val="20"/>
                <w:szCs w:val="20"/>
              </w:rPr>
              <w:t xml:space="preserve">　</w:t>
            </w:r>
          </w:p>
          <w:p w14:paraId="7C27BCBD" w14:textId="77777777" w:rsidR="00A5429A" w:rsidRDefault="00000000">
            <w:pPr>
              <w:widowControl/>
              <w:adjustRightInd/>
              <w:spacing w:line="240" w:lineRule="auto"/>
              <w:jc w:val="center"/>
              <w:textAlignment w:val="auto"/>
              <w:rPr>
                <w:rFonts w:ascii="宋体" w:eastAsia="宋体" w:hAnsi="宋体" w:cs="Arial" w:hint="eastAsia"/>
                <w:sz w:val="20"/>
                <w:szCs w:val="20"/>
              </w:rPr>
            </w:pPr>
            <w:r>
              <w:rPr>
                <w:rFonts w:ascii="宋体" w:eastAsia="宋体" w:hAnsi="宋体" w:cs="Arial" w:hint="eastAsia"/>
                <w:sz w:val="20"/>
                <w:szCs w:val="20"/>
              </w:rPr>
              <w:t xml:space="preserve">　</w:t>
            </w:r>
          </w:p>
        </w:tc>
      </w:tr>
    </w:tbl>
    <w:p w14:paraId="2F334347" w14:textId="77777777" w:rsidR="00A5429A" w:rsidRDefault="00A5429A">
      <w:pPr>
        <w:pStyle w:val="Default"/>
      </w:pPr>
    </w:p>
    <w:p w14:paraId="5CA8D6A7" w14:textId="77777777" w:rsidR="00A5429A" w:rsidRDefault="00A5429A"/>
    <w:sectPr w:rsidR="00A5429A">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D416" w14:textId="77777777" w:rsidR="003545C8" w:rsidRDefault="003545C8">
      <w:pPr>
        <w:spacing w:line="240" w:lineRule="auto"/>
      </w:pPr>
      <w:r>
        <w:separator/>
      </w:r>
    </w:p>
  </w:endnote>
  <w:endnote w:type="continuationSeparator" w:id="0">
    <w:p w14:paraId="16A342B3" w14:textId="77777777" w:rsidR="003545C8" w:rsidRDefault="0035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6E69763A-C43D-46A0-A1AF-919FB4F2B681}"/>
  </w:font>
  <w:font w:name="仿宋">
    <w:panose1 w:val="02010609060101010101"/>
    <w:charset w:val="86"/>
    <w:family w:val="modern"/>
    <w:pitch w:val="fixed"/>
    <w:sig w:usb0="800002BF" w:usb1="38CF7CFA" w:usb2="00000016" w:usb3="00000000" w:csb0="00040001" w:csb1="00000000"/>
    <w:embedRegular r:id="rId2" w:subsetted="1" w:fontKey="{945D8266-0EC1-4EE4-9F16-6DA68DE8E5BD}"/>
    <w:embedBold r:id="rId3" w:subsetted="1" w:fontKey="{731EF9AC-9CBD-4F16-A638-804D6DE714EB}"/>
  </w:font>
  <w:font w:name="方正仿宋_GB2312">
    <w:charset w:val="86"/>
    <w:family w:val="auto"/>
    <w:pitch w:val="default"/>
    <w:sig w:usb0="A00002BF" w:usb1="184F6CFA" w:usb2="00000012" w:usb3="00000000" w:csb0="00040001" w:csb1="00000000"/>
    <w:embedRegular r:id="rId4" w:subsetted="1" w:fontKey="{96F1944F-6FCF-416C-9293-782906ADB7CB}"/>
  </w:font>
  <w:font w:name="___WRD_EMBED_SUB_43">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057E" w14:textId="77777777" w:rsidR="003545C8" w:rsidRDefault="003545C8">
      <w:pPr>
        <w:spacing w:line="240" w:lineRule="auto"/>
      </w:pPr>
      <w:r>
        <w:separator/>
      </w:r>
    </w:p>
  </w:footnote>
  <w:footnote w:type="continuationSeparator" w:id="0">
    <w:p w14:paraId="673353CD" w14:textId="77777777" w:rsidR="003545C8" w:rsidRDefault="003545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72E57638"/>
    <w:rsid w:val="00061C03"/>
    <w:rsid w:val="00066506"/>
    <w:rsid w:val="001676A5"/>
    <w:rsid w:val="001815C1"/>
    <w:rsid w:val="001B13C2"/>
    <w:rsid w:val="00216F10"/>
    <w:rsid w:val="00256707"/>
    <w:rsid w:val="002658E9"/>
    <w:rsid w:val="0027727D"/>
    <w:rsid w:val="002845EE"/>
    <w:rsid w:val="002D1FA7"/>
    <w:rsid w:val="00325AD6"/>
    <w:rsid w:val="00335B45"/>
    <w:rsid w:val="0034073A"/>
    <w:rsid w:val="00352195"/>
    <w:rsid w:val="003545C8"/>
    <w:rsid w:val="0036528A"/>
    <w:rsid w:val="003818D9"/>
    <w:rsid w:val="0043116F"/>
    <w:rsid w:val="004454FE"/>
    <w:rsid w:val="00462D3A"/>
    <w:rsid w:val="00477082"/>
    <w:rsid w:val="00492146"/>
    <w:rsid w:val="00493B13"/>
    <w:rsid w:val="004D320A"/>
    <w:rsid w:val="004F0967"/>
    <w:rsid w:val="005B25D1"/>
    <w:rsid w:val="005B48DE"/>
    <w:rsid w:val="005F17D6"/>
    <w:rsid w:val="00620BA6"/>
    <w:rsid w:val="00651E69"/>
    <w:rsid w:val="0069079C"/>
    <w:rsid w:val="006C6C21"/>
    <w:rsid w:val="006D0FD5"/>
    <w:rsid w:val="006F5D05"/>
    <w:rsid w:val="0075146E"/>
    <w:rsid w:val="00762AB4"/>
    <w:rsid w:val="007F7384"/>
    <w:rsid w:val="00884686"/>
    <w:rsid w:val="008A299C"/>
    <w:rsid w:val="008C5221"/>
    <w:rsid w:val="008D0B39"/>
    <w:rsid w:val="008F359C"/>
    <w:rsid w:val="009D2A06"/>
    <w:rsid w:val="00A50259"/>
    <w:rsid w:val="00A5429A"/>
    <w:rsid w:val="00A65164"/>
    <w:rsid w:val="00A83846"/>
    <w:rsid w:val="00AC208B"/>
    <w:rsid w:val="00AF254B"/>
    <w:rsid w:val="00B402D1"/>
    <w:rsid w:val="00B81553"/>
    <w:rsid w:val="00BA37E6"/>
    <w:rsid w:val="00BD69F2"/>
    <w:rsid w:val="00BE614F"/>
    <w:rsid w:val="00BF3877"/>
    <w:rsid w:val="00C15D04"/>
    <w:rsid w:val="00C41A3B"/>
    <w:rsid w:val="00D57BAB"/>
    <w:rsid w:val="00DA66F6"/>
    <w:rsid w:val="00DF697F"/>
    <w:rsid w:val="00E0493A"/>
    <w:rsid w:val="00E93F89"/>
    <w:rsid w:val="00EA496C"/>
    <w:rsid w:val="00EB5307"/>
    <w:rsid w:val="00EC69A3"/>
    <w:rsid w:val="00F9507F"/>
    <w:rsid w:val="010D12B1"/>
    <w:rsid w:val="0B1F4CFE"/>
    <w:rsid w:val="0C0B28F2"/>
    <w:rsid w:val="10BB74EB"/>
    <w:rsid w:val="11CD7AA3"/>
    <w:rsid w:val="16593B69"/>
    <w:rsid w:val="1E072B8A"/>
    <w:rsid w:val="221A213F"/>
    <w:rsid w:val="34403186"/>
    <w:rsid w:val="344558E9"/>
    <w:rsid w:val="4FD154CB"/>
    <w:rsid w:val="51DB7F97"/>
    <w:rsid w:val="53710FAE"/>
    <w:rsid w:val="5FA657EC"/>
    <w:rsid w:val="60F70FF4"/>
    <w:rsid w:val="672F102F"/>
    <w:rsid w:val="6F726B32"/>
    <w:rsid w:val="717A2075"/>
    <w:rsid w:val="72E57638"/>
    <w:rsid w:val="73285E60"/>
    <w:rsid w:val="73872FF2"/>
    <w:rsid w:val="77D66A42"/>
    <w:rsid w:val="7AA8231F"/>
    <w:rsid w:val="7AAD7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6B0EE3"/>
  <w15:docId w15:val="{627CF4EE-0D10-43AB-9251-197820B7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Theme="minorHAnsi" w:eastAsiaTheme="minorEastAsia" w:hAnsiTheme="minorHAnsi" w:cstheme="minorBidi"/>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spacing w:line="240" w:lineRule="atLeast"/>
      <w:jc w:val="left"/>
    </w:pPr>
    <w:rPr>
      <w:sz w:val="18"/>
      <w:szCs w:val="18"/>
    </w:rPr>
  </w:style>
  <w:style w:type="paragraph" w:styleId="a6">
    <w:name w:val="header"/>
    <w:basedOn w:val="a"/>
    <w:link w:val="a7"/>
    <w:qFormat/>
    <w:pPr>
      <w:tabs>
        <w:tab w:val="center" w:pos="4153"/>
        <w:tab w:val="right" w:pos="8306"/>
      </w:tabs>
      <w:snapToGrid w:val="0"/>
      <w:spacing w:line="240" w:lineRule="atLeast"/>
      <w:jc w:val="center"/>
    </w:pPr>
    <w:rPr>
      <w:sz w:val="18"/>
      <w:szCs w:val="18"/>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
    <w:name w:val="修订1"/>
    <w:hidden/>
    <w:uiPriority w:val="99"/>
    <w:unhideWhenUsed/>
    <w:qFormat/>
    <w:rPr>
      <w:rFonts w:asciiTheme="minorHAnsi" w:eastAsiaTheme="minorEastAsia" w:hAnsiTheme="minorHAnsi" w:cstheme="minorBidi"/>
      <w:sz w:val="24"/>
      <w:szCs w:val="22"/>
    </w:rPr>
  </w:style>
  <w:style w:type="character" w:customStyle="1" w:styleId="a7">
    <w:name w:val="页眉 字符"/>
    <w:basedOn w:val="a0"/>
    <w:link w:val="a6"/>
    <w:qFormat/>
    <w:rPr>
      <w:rFonts w:asciiTheme="minorHAnsi" w:eastAsiaTheme="minorEastAsia" w:hAnsiTheme="minorHAnsi" w:cstheme="minorBidi"/>
      <w:sz w:val="18"/>
      <w:szCs w:val="18"/>
    </w:rPr>
  </w:style>
  <w:style w:type="character" w:customStyle="1" w:styleId="a5">
    <w:name w:val="页脚 字符"/>
    <w:basedOn w:val="a0"/>
    <w:link w:val="a4"/>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柳公子</dc:creator>
  <cp:lastModifiedBy>张媛</cp:lastModifiedBy>
  <cp:revision>57</cp:revision>
  <cp:lastPrinted>2024-09-19T08:41:00Z</cp:lastPrinted>
  <dcterms:created xsi:type="dcterms:W3CDTF">2024-09-09T05:34:00Z</dcterms:created>
  <dcterms:modified xsi:type="dcterms:W3CDTF">2025-03-14T02:28:00Z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C4FD524639AA44AE9EA0BDE84C6C7464_11</vt:lpwstr>
  </property>
  <property fmtid="{D5CDD505-2E9C-101B-9397-08002B2CF9AE}" pid="4" name="KSOTemplateDocerSaveRecord">
    <vt:lpwstr>eyJoZGlkIjoiZDBiNTA3OWI5NTI5NzliMDdhOTA5Nzg1YzIyNTUzZDkiLCJ1c2VySWQiOiIyNzYwMTEwNDMifQ==</vt:lpwstr>
  </property>
</Properties>
</file>