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0DC70">
      <w:pPr>
        <w:spacing w:line="440" w:lineRule="exact"/>
        <w:jc w:val="center"/>
        <w:rPr>
          <w:rFonts w:hint="eastAsia" w:ascii="方正小标宋_GBK" w:hAnsi="方正小标宋_GBK" w:eastAsia="方正小标宋_GBK" w:cs="方正小标宋_GBK"/>
          <w:b w:val="0"/>
          <w:bCs/>
          <w:spacing w:val="10"/>
          <w:sz w:val="36"/>
          <w:szCs w:val="36"/>
          <w:lang w:val="en-US" w:eastAsia="zh-CN"/>
        </w:rPr>
      </w:pPr>
      <w:r>
        <w:rPr>
          <w:rFonts w:hint="eastAsia" w:ascii="方正小标宋_GBK" w:hAnsi="方正小标宋_GBK" w:eastAsia="方正小标宋_GBK" w:cs="方正小标宋_GBK"/>
          <w:b w:val="0"/>
          <w:bCs/>
          <w:spacing w:val="10"/>
          <w:sz w:val="32"/>
          <w:szCs w:val="32"/>
        </w:rPr>
        <w:t>合同名称：</w:t>
      </w:r>
      <w:r>
        <w:rPr>
          <w:rFonts w:hint="eastAsia" w:ascii="方正小标宋_GBK" w:hAnsi="方正小标宋_GBK" w:eastAsia="方正小标宋_GBK" w:cs="方正小标宋_GBK"/>
          <w:b w:val="0"/>
          <w:bCs/>
          <w:spacing w:val="10"/>
          <w:sz w:val="36"/>
          <w:szCs w:val="36"/>
        </w:rPr>
        <w:t>合同名称：</w:t>
      </w:r>
    </w:p>
    <w:p w14:paraId="6C351576">
      <w:pPr>
        <w:spacing w:line="440" w:lineRule="exact"/>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签订地点：常州市新北区河海西路</w:t>
      </w:r>
      <w:r>
        <w:rPr>
          <w:rFonts w:ascii="Times New Roman" w:hAnsi="Times New Roman" w:eastAsia="仿宋_GB2312" w:cs="Times New Roman"/>
          <w:spacing w:val="10"/>
          <w:sz w:val="28"/>
          <w:szCs w:val="28"/>
        </w:rPr>
        <w:t>520</w:t>
      </w:r>
      <w:r>
        <w:rPr>
          <w:rFonts w:hint="eastAsia" w:ascii="仿宋_GB2312" w:hAnsi="仿宋_GB2312" w:eastAsia="仿宋_GB2312" w:cs="仿宋_GB2312"/>
          <w:spacing w:val="10"/>
          <w:sz w:val="28"/>
          <w:szCs w:val="28"/>
        </w:rPr>
        <w:t>号</w:t>
      </w:r>
    </w:p>
    <w:p w14:paraId="4B8544C1">
      <w:pPr>
        <w:spacing w:line="440" w:lineRule="exact"/>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签订时间：</w:t>
      </w:r>
    </w:p>
    <w:p w14:paraId="1812F7CD">
      <w:pPr>
        <w:spacing w:line="440" w:lineRule="exact"/>
        <w:jc w:val="left"/>
        <w:rPr>
          <w:rFonts w:hint="eastAsia" w:ascii="仿宋_GB2312" w:hAnsi="仿宋_GB2312" w:eastAsia="仿宋_GB2312" w:cs="仿宋_GB2312"/>
          <w:spacing w:val="10"/>
          <w:sz w:val="28"/>
          <w:szCs w:val="28"/>
          <w:lang w:val="en-US" w:eastAsia="zh-CN"/>
        </w:rPr>
      </w:pPr>
      <w:r>
        <w:rPr>
          <w:rFonts w:hint="eastAsia" w:ascii="仿宋_GB2312" w:hAnsi="仿宋_GB2312" w:eastAsia="仿宋_GB2312" w:cs="仿宋_GB2312"/>
          <w:spacing w:val="10"/>
          <w:sz w:val="28"/>
          <w:szCs w:val="28"/>
        </w:rPr>
        <w:t>合同编号：</w:t>
      </w:r>
    </w:p>
    <w:p w14:paraId="19833F85">
      <w:pPr>
        <w:spacing w:line="440" w:lineRule="exact"/>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甲方：</w:t>
      </w:r>
      <w:r>
        <w:rPr>
          <w:rFonts w:hint="eastAsia" w:ascii="仿宋_GB2312" w:hAnsi="仿宋_GB2312" w:eastAsia="仿宋_GB2312" w:cs="仿宋_GB2312"/>
          <w:spacing w:val="10"/>
          <w:sz w:val="28"/>
          <w:szCs w:val="28"/>
          <w:u w:val="single"/>
        </w:rPr>
        <w:t>常州市城市照明工程有限公司</w:t>
      </w:r>
    </w:p>
    <w:p w14:paraId="5B288D55">
      <w:pPr>
        <w:pStyle w:val="6"/>
        <w:spacing w:line="440" w:lineRule="exact"/>
        <w:jc w:val="left"/>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乙方：(中标人）</w:t>
      </w:r>
    </w:p>
    <w:p w14:paraId="3DC2E2AD">
      <w:pPr>
        <w:spacing w:line="440" w:lineRule="exact"/>
        <w:ind w:firstLine="600" w:firstLineChars="200"/>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一、乙方按甲方要求，按照《中华人民共和国民法典》及相关法律法规的规定，结合本工程具体情况，双方达成如下协议。</w:t>
      </w:r>
    </w:p>
    <w:p w14:paraId="459E584C">
      <w:pPr>
        <w:spacing w:line="440" w:lineRule="exact"/>
        <w:jc w:val="lef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spacing w:val="10"/>
          <w:sz w:val="28"/>
          <w:szCs w:val="28"/>
        </w:rPr>
        <w:t>1、工程名称：</w:t>
      </w:r>
    </w:p>
    <w:p w14:paraId="350322AE">
      <w:pPr>
        <w:spacing w:line="440" w:lineRule="exact"/>
        <w:jc w:val="left"/>
        <w:rPr>
          <w:rFonts w:hint="eastAsia" w:ascii="仿宋_GB2312" w:hAnsi="仿宋_GB2312" w:eastAsia="仿宋_GB2312" w:cs="仿宋_GB2312"/>
          <w:spacing w:val="10"/>
          <w:sz w:val="28"/>
          <w:szCs w:val="28"/>
          <w:u w:val="single"/>
        </w:rPr>
      </w:pPr>
      <w:r>
        <w:rPr>
          <w:rFonts w:hint="eastAsia" w:ascii="仿宋_GB2312" w:hAnsi="仿宋_GB2312" w:eastAsia="仿宋_GB2312" w:cs="仿宋_GB2312"/>
          <w:spacing w:val="10"/>
          <w:sz w:val="28"/>
          <w:szCs w:val="28"/>
        </w:rPr>
        <w:t>2、工程地点：</w:t>
      </w:r>
      <w:r>
        <w:rPr>
          <w:rFonts w:hint="eastAsia" w:ascii="仿宋_GB2312" w:hAnsi="仿宋_GB2312" w:eastAsia="仿宋_GB2312" w:cs="仿宋_GB2312"/>
          <w:spacing w:val="10"/>
          <w:sz w:val="28"/>
          <w:szCs w:val="28"/>
          <w:u w:val="single"/>
        </w:rPr>
        <w:t>常州</w:t>
      </w:r>
    </w:p>
    <w:p w14:paraId="54564DA5">
      <w:pPr>
        <w:spacing w:line="440" w:lineRule="exact"/>
        <w:jc w:val="left"/>
        <w:rPr>
          <w:rFonts w:hint="eastAsia" w:ascii="仿宋_GB2312" w:hAnsi="仿宋_GB2312" w:eastAsia="仿宋_GB2312" w:cs="仿宋_GB2312"/>
          <w:spacing w:val="10"/>
          <w:sz w:val="28"/>
          <w:szCs w:val="28"/>
          <w:lang w:val="en-US" w:eastAsia="zh-CN"/>
        </w:rPr>
      </w:pPr>
      <w:r>
        <w:rPr>
          <w:rFonts w:hint="eastAsia" w:ascii="仿宋_GB2312" w:hAnsi="仿宋_GB2312" w:eastAsia="仿宋_GB2312" w:cs="仿宋_GB2312"/>
          <w:spacing w:val="10"/>
          <w:sz w:val="28"/>
          <w:szCs w:val="28"/>
        </w:rPr>
        <w:t>3、承包范围</w:t>
      </w:r>
      <w:r>
        <w:rPr>
          <w:rFonts w:hint="eastAsia" w:ascii="仿宋_GB2312" w:hAnsi="仿宋_GB2312" w:eastAsia="仿宋_GB2312" w:cs="仿宋_GB2312"/>
          <w:spacing w:val="10"/>
          <w:sz w:val="28"/>
          <w:szCs w:val="28"/>
          <w:lang w:eastAsia="zh-CN"/>
        </w:rPr>
        <w:t>：</w:t>
      </w:r>
    </w:p>
    <w:p w14:paraId="3F3A6A29">
      <w:pPr>
        <w:spacing w:line="420" w:lineRule="exact"/>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4、合同价款（人民币小写）：</w:t>
      </w:r>
    </w:p>
    <w:p w14:paraId="6BEE5575">
      <w:pPr>
        <w:spacing w:line="420" w:lineRule="exact"/>
        <w:jc w:val="left"/>
        <w:rPr>
          <w:rFonts w:hint="default" w:ascii="仿宋_GB2312" w:hAnsi="仿宋_GB2312" w:eastAsia="仿宋_GB2312" w:cs="仿宋_GB2312"/>
          <w:u w:val="single"/>
          <w:lang w:val="en-US" w:eastAsia="zh-CN"/>
        </w:rPr>
      </w:pPr>
      <w:r>
        <w:rPr>
          <w:rFonts w:hint="eastAsia" w:ascii="仿宋_GB2312" w:hAnsi="仿宋_GB2312" w:eastAsia="仿宋_GB2312" w:cs="仿宋_GB2312"/>
          <w:spacing w:val="10"/>
          <w:sz w:val="28"/>
          <w:szCs w:val="28"/>
        </w:rPr>
        <w:t>5、合同履行期限：</w:t>
      </w:r>
      <w:r>
        <w:rPr>
          <w:rFonts w:hint="eastAsia" w:ascii="仿宋_GB2312" w:hAnsi="仿宋_GB2312" w:eastAsia="仿宋_GB2312" w:cs="仿宋_GB2312"/>
          <w:spacing w:val="10"/>
          <w:sz w:val="28"/>
          <w:szCs w:val="28"/>
          <w:u w:val="single"/>
          <w:lang w:val="en-US" w:eastAsia="zh-CN"/>
        </w:rPr>
        <w:t>根据项目进度</w:t>
      </w:r>
    </w:p>
    <w:p w14:paraId="77C5AEC2">
      <w:pPr>
        <w:keepNext w:val="0"/>
        <w:keepLines w:val="0"/>
        <w:pageBreakBefore w:val="0"/>
        <w:widowControl w:val="0"/>
        <w:kinsoku/>
        <w:wordWrap/>
        <w:overflowPunct/>
        <w:topLinePunct w:val="0"/>
        <w:autoSpaceDE/>
        <w:autoSpaceDN/>
        <w:bidi w:val="0"/>
        <w:adjustRightInd w:val="0"/>
        <w:snapToGrid/>
        <w:spacing w:line="640" w:lineRule="exact"/>
        <w:jc w:val="center"/>
        <w:textAlignment w:val="baseline"/>
        <w:rPr>
          <w:rFonts w:hint="default" w:ascii="方正小标宋_GBK" w:hAnsi="方正小标宋_GBK" w:eastAsia="方正小标宋_GBK" w:cs="方正小标宋_GBK"/>
          <w:b w:val="0"/>
          <w:bCs/>
          <w:spacing w:val="10"/>
          <w:sz w:val="32"/>
          <w:szCs w:val="32"/>
          <w:lang w:val="en-US" w:eastAsia="zh-CN"/>
        </w:rPr>
      </w:pPr>
    </w:p>
    <w:p w14:paraId="2AE15F22">
      <w:pPr>
        <w:keepNext w:val="0"/>
        <w:keepLines w:val="0"/>
        <w:pageBreakBefore w:val="0"/>
        <w:kinsoku/>
        <w:overflowPunct/>
        <w:topLinePunct w:val="0"/>
        <w:autoSpaceDE/>
        <w:autoSpaceDN/>
        <w:bidi w:val="0"/>
        <w:snapToGrid/>
        <w:spacing w:line="570" w:lineRule="exac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二、合同文件：</w:t>
      </w:r>
    </w:p>
    <w:p w14:paraId="22CC2920">
      <w:pPr>
        <w:keepNext w:val="0"/>
        <w:keepLines w:val="0"/>
        <w:pageBreakBefore w:val="0"/>
        <w:kinsoku/>
        <w:overflowPunct/>
        <w:topLinePunct w:val="0"/>
        <w:autoSpaceDE/>
        <w:autoSpaceDN/>
        <w:bidi w:val="0"/>
        <w:snapToGrid/>
        <w:spacing w:line="570" w:lineRule="exac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下列材料采购文件是构成本合同不可分割的部分：</w:t>
      </w:r>
    </w:p>
    <w:p w14:paraId="61A5BFE4">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1、本招标文件</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及相关的谈判记录资料；</w:t>
      </w:r>
    </w:p>
    <w:p w14:paraId="12744004">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2、乙方提交的申报文件及相关资料；</w:t>
      </w:r>
    </w:p>
    <w:p w14:paraId="1C894ED6">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3、经甲、乙方确认的补充协议及来往函件。</w:t>
      </w:r>
    </w:p>
    <w:p w14:paraId="74769B4E">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三、适用法律、标准及规范</w:t>
      </w:r>
    </w:p>
    <w:p w14:paraId="21CF10EA">
      <w:pPr>
        <w:keepNext w:val="0"/>
        <w:keepLines w:val="0"/>
        <w:pageBreakBefore w:val="0"/>
        <w:kinsoku/>
        <w:overflowPunct/>
        <w:topLinePunct w:val="0"/>
        <w:autoSpaceDE/>
        <w:autoSpaceDN/>
        <w:bidi w:val="0"/>
        <w:snapToGrid/>
        <w:spacing w:line="570" w:lineRule="exac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本合同适用的标准和规范：现行国家有关标准、规范。</w:t>
      </w:r>
    </w:p>
    <w:p w14:paraId="78D26F92">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四、合同价款：</w:t>
      </w:r>
    </w:p>
    <w:p w14:paraId="4A5C7145">
      <w:pPr>
        <w:keepNext w:val="0"/>
        <w:keepLines w:val="0"/>
        <w:pageBreakBefore w:val="0"/>
        <w:widowControl w:val="0"/>
        <w:kinsoku/>
        <w:wordWrap/>
        <w:overflowPunct/>
        <w:topLinePunct w:val="0"/>
        <w:autoSpaceDE/>
        <w:autoSpaceDN/>
        <w:bidi w:val="0"/>
        <w:adjustRightInd w:val="0"/>
        <w:snapToGrid/>
        <w:spacing w:line="550" w:lineRule="exact"/>
        <w:ind w:firstLine="600" w:firstLineChars="200"/>
        <w:textAlignment w:val="baseline"/>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424E88AE">
      <w:pPr>
        <w:spacing w:line="440" w:lineRule="exact"/>
        <w:ind w:firstLine="600" w:firstLineChars="200"/>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五、质量保证：</w:t>
      </w:r>
    </w:p>
    <w:p w14:paraId="59DE5EA4">
      <w:pPr>
        <w:spacing w:line="440" w:lineRule="exact"/>
        <w:ind w:firstLine="600" w:firstLineChars="200"/>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1、乙方严格按照招标文件及谈判达成的协议进行货物的采购及检验，并对其质量负责。</w:t>
      </w:r>
    </w:p>
    <w:p w14:paraId="42E194D7">
      <w:pPr>
        <w:spacing w:line="440" w:lineRule="exact"/>
        <w:ind w:firstLine="600" w:firstLineChars="200"/>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2、乙方负责提供的材料，其品牌、型号、规格等必须与投标报价单一致，并提供产品说明书，相关检测证明及相关参数、要求，不得以次充好。</w:t>
      </w:r>
    </w:p>
    <w:p w14:paraId="6317DF15">
      <w:pPr>
        <w:spacing w:line="440" w:lineRule="exact"/>
        <w:ind w:firstLine="600" w:firstLineChars="200"/>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乙方提供的货物在送到甲方指定地点时，按本谈判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0E7DAE42">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按照《江苏省市政工程计价表（2014）》及相关标准</w:t>
      </w:r>
      <w:r>
        <w:rPr>
          <w:rFonts w:hint="eastAsia" w:ascii="仿宋_GB2312" w:hAnsi="仿宋_GB2312" w:eastAsia="仿宋_GB2312" w:cs="仿宋_GB2312"/>
          <w:spacing w:val="10"/>
          <w:sz w:val="28"/>
          <w:szCs w:val="28"/>
          <w:lang w:val="en-US" w:eastAsia="zh-CN"/>
        </w:rPr>
        <w:t>执行</w:t>
      </w:r>
      <w:r>
        <w:rPr>
          <w:rFonts w:hint="eastAsia" w:ascii="仿宋_GB2312" w:hAnsi="仿宋_GB2312" w:eastAsia="仿宋_GB2312" w:cs="仿宋_GB2312"/>
          <w:spacing w:val="10"/>
          <w:sz w:val="28"/>
          <w:szCs w:val="28"/>
        </w:rPr>
        <w:t>）由乙方承担，并有权直接从剩余应付货款中扣除。质保期内，有质量问题的货物，甲方有权就有问题的货物向乙方主张退款退货并要求乙方承担该有问题的货物采购价款总和的2倍作为违约金</w:t>
      </w:r>
      <w:r>
        <w:rPr>
          <w:rFonts w:hint="eastAsia" w:ascii="仿宋_GB2312" w:hAnsi="仿宋_GB2312" w:eastAsia="仿宋_GB2312" w:cs="仿宋_GB2312"/>
          <w:spacing w:val="10"/>
          <w:sz w:val="28"/>
          <w:szCs w:val="28"/>
          <w:lang w:eastAsia="zh-CN"/>
        </w:rPr>
        <w:t>。</w:t>
      </w:r>
    </w:p>
    <w:p w14:paraId="1CC61EEF">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六、供货期：</w:t>
      </w:r>
    </w:p>
    <w:p w14:paraId="5170CF67">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1、乙方自收到订单2日内提供详细的供货计划表，未按计划表供应相关材料所导致的人员、机械窝工、工期延误等经济损失由乙方承担。乙方自订单收到起</w:t>
      </w:r>
      <w:r>
        <w:rPr>
          <w:rFonts w:hint="eastAsia" w:ascii="仿宋_GB2312" w:hAnsi="仿宋_GB2312" w:eastAsia="仿宋_GB2312" w:cs="仿宋_GB2312"/>
          <w:spacing w:val="10"/>
          <w:sz w:val="28"/>
          <w:szCs w:val="28"/>
          <w:u w:val="single"/>
          <w:lang w:val="en-US" w:eastAsia="zh-CN"/>
        </w:rPr>
        <w:t xml:space="preserve">      </w:t>
      </w:r>
      <w:r>
        <w:rPr>
          <w:rFonts w:hint="eastAsia" w:ascii="仿宋_GB2312" w:hAnsi="仿宋_GB2312" w:eastAsia="仿宋_GB2312" w:cs="仿宋_GB2312"/>
          <w:spacing w:val="10"/>
          <w:sz w:val="28"/>
          <w:szCs w:val="28"/>
        </w:rPr>
        <w:t>天完成供货，供货地点为甲方指定地点，签收日期为甲方签收日期。</w:t>
      </w:r>
    </w:p>
    <w:p w14:paraId="7F83BA88">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w:t>
      </w:r>
      <w:r>
        <w:rPr>
          <w:rFonts w:hint="eastAsia" w:ascii="仿宋_GB2312" w:hAnsi="仿宋_GB2312" w:eastAsia="仿宋_GB2312" w:cs="仿宋_GB2312"/>
          <w:spacing w:val="10"/>
          <w:sz w:val="28"/>
          <w:szCs w:val="28"/>
        </w:rPr>
        <w:t>乙方所交付的货物品种、型号、规格不符合招标文件规定的，甲方有权拒收，如乙方不能够按照招标文件提供产品，甲方有权扣除合同中要求的履约保证金并将自行采购满足招标文件要求的产品，所发生的一切费用均由乙方承担，并将保留进一步追究乙方违约责任的权利。</w:t>
      </w:r>
    </w:p>
    <w:p w14:paraId="6D9E3542">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3、乙方必须在合同约定的供货期内保质保量按期供货，逾期（不可抗力及甲方原因除外）按日加收合同总款</w:t>
      </w:r>
      <w:r>
        <w:rPr>
          <w:rFonts w:hint="eastAsia" w:ascii="仿宋_GB2312" w:hAnsi="仿宋_GB2312" w:eastAsia="仿宋_GB2312" w:cs="仿宋_GB2312"/>
          <w:snapToGrid w:val="0"/>
          <w:sz w:val="28"/>
          <w:szCs w:val="28"/>
          <w:u w:val="single"/>
        </w:rPr>
        <w:t>1%</w:t>
      </w:r>
      <w:r>
        <w:rPr>
          <w:rFonts w:hint="eastAsia" w:ascii="仿宋_GB2312" w:hAnsi="仿宋_GB2312" w:eastAsia="仿宋_GB2312" w:cs="仿宋_GB2312"/>
          <w:snapToGrid w:val="0"/>
          <w:sz w:val="28"/>
          <w:szCs w:val="28"/>
        </w:rPr>
        <w:t>的违约金。如果逾期超过10天，甲方有权解除合同。甲方解除合同的通知将以邮寄形式邮寄到乙方所在地，时间从到达乙方时生效。</w:t>
      </w:r>
    </w:p>
    <w:p w14:paraId="3FD41722">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七、验收：</w:t>
      </w:r>
    </w:p>
    <w:p w14:paraId="2DB196CE">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1、材料数量为暂定数量，实际数量应根据甲方签字确认的数量确定。</w:t>
      </w:r>
    </w:p>
    <w:p w14:paraId="00E1046F">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2、甲乙双方、监理共同将依据有关规定，对货物进行验收，并签字确认。</w:t>
      </w:r>
    </w:p>
    <w:p w14:paraId="0154EE03">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八、结算及付款期限：</w:t>
      </w:r>
    </w:p>
    <w:p w14:paraId="41227928">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1、在合同约定的供货期内，除本合同及招标文件中另有约定予以调整外，材料单价不得调整。</w:t>
      </w:r>
    </w:p>
    <w:p w14:paraId="55AD3B45">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2、招标文件中没有的材料，在施工过程中变更调整增加的,由乙方参照本次投标报价编制、申报单价，报监理和审计部门，由甲方最终确定结算价格。</w:t>
      </w:r>
    </w:p>
    <w:p w14:paraId="7F5FEF01">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3、付款方式：本合同以人民币结算。</w:t>
      </w:r>
    </w:p>
    <w:p w14:paraId="03D37B63">
      <w:pPr>
        <w:spacing w:line="420" w:lineRule="exact"/>
        <w:ind w:firstLine="600" w:firstLineChars="200"/>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乙方在规定时间内将全部货物运达到货地点且安装调试合格后，乙方提供金额为合同总价</w:t>
      </w:r>
      <w:r>
        <w:rPr>
          <w:rFonts w:ascii="Times New Roman" w:hAnsi="Times New Roman" w:eastAsia="仿宋_GB2312" w:cs="Times New Roman"/>
          <w:spacing w:val="10"/>
          <w:sz w:val="28"/>
          <w:szCs w:val="28"/>
        </w:rPr>
        <w:t>100</w:t>
      </w:r>
      <w:r>
        <w:rPr>
          <w:rFonts w:hint="eastAsia" w:ascii="仿宋_GB2312" w:hAnsi="仿宋_GB2312" w:eastAsia="仿宋_GB2312" w:cs="仿宋_GB2312"/>
          <w:spacing w:val="10"/>
          <w:sz w:val="28"/>
          <w:szCs w:val="28"/>
        </w:rPr>
        <w:t>%的增值税专用发票，经甲方审核无误后</w:t>
      </w:r>
      <w:r>
        <w:rPr>
          <w:rFonts w:ascii="Times New Roman" w:hAnsi="Times New Roman" w:eastAsia="仿宋_GB2312" w:cs="Times New Roman"/>
          <w:spacing w:val="10"/>
          <w:sz w:val="28"/>
          <w:szCs w:val="28"/>
        </w:rPr>
        <w:t>60</w:t>
      </w:r>
      <w:r>
        <w:rPr>
          <w:rFonts w:hint="eastAsia" w:ascii="仿宋_GB2312" w:hAnsi="仿宋_GB2312" w:eastAsia="仿宋_GB2312" w:cs="仿宋_GB2312"/>
          <w:spacing w:val="10"/>
          <w:sz w:val="28"/>
          <w:szCs w:val="28"/>
        </w:rPr>
        <w:t>天内（日历天数），甲方支付合同总价的95%；质保期（两年）结束后甲方支付剩余</w:t>
      </w:r>
      <w:r>
        <w:rPr>
          <w:rFonts w:ascii="Times New Roman" w:hAnsi="Times New Roman" w:eastAsia="仿宋_GB2312" w:cs="Times New Roman"/>
          <w:spacing w:val="10"/>
          <w:sz w:val="28"/>
          <w:szCs w:val="28"/>
        </w:rPr>
        <w:t>5</w:t>
      </w:r>
      <w:r>
        <w:rPr>
          <w:rFonts w:hint="eastAsia" w:ascii="仿宋_GB2312" w:hAnsi="仿宋_GB2312" w:eastAsia="仿宋_GB2312" w:cs="仿宋_GB2312"/>
          <w:spacing w:val="10"/>
          <w:sz w:val="28"/>
          <w:szCs w:val="28"/>
        </w:rPr>
        <w:t>%。</w:t>
      </w:r>
      <w:bookmarkStart w:id="0" w:name="_GoBack"/>
      <w:bookmarkEnd w:id="0"/>
    </w:p>
    <w:p w14:paraId="37B9C9C2">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九、材料的运输、装卸由乙方负责,费用由乙方承担。</w:t>
      </w:r>
    </w:p>
    <w:p w14:paraId="1428264F">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从履约保证金中扣除，此项服务乙方的响应时间为24小时。</w:t>
      </w:r>
    </w:p>
    <w:p w14:paraId="272C8003">
      <w:pPr>
        <w:keepNext w:val="0"/>
        <w:keepLines w:val="0"/>
        <w:pageBreakBefore w:val="0"/>
        <w:kinsoku/>
        <w:overflowPunct/>
        <w:topLinePunct w:val="0"/>
        <w:autoSpaceDE/>
        <w:autoSpaceDN/>
        <w:bidi w:val="0"/>
        <w:snapToGrid/>
        <w:spacing w:line="57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2.报价包含运输至甲方仓库入库检验的相关费用（包含装卸费用）。在运输、装卸等环节，必须做好成品保护，确保货物完好无损。所有措施费用含在投标报价中。</w:t>
      </w:r>
    </w:p>
    <w:p w14:paraId="56818FA3">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十、保修及售后服务：</w:t>
      </w:r>
    </w:p>
    <w:p w14:paraId="56B6100B">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1、详见乙方投标文件中提供的售后服务承诺。</w:t>
      </w:r>
    </w:p>
    <w:p w14:paraId="01ABD52A">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2、质保期</w:t>
      </w:r>
      <w:r>
        <w:rPr>
          <w:rFonts w:hint="eastAsia" w:ascii="仿宋_GB2312" w:hAnsi="仿宋_GB2312" w:eastAsia="仿宋_GB2312" w:cs="仿宋_GB2312"/>
          <w:b/>
          <w:snapToGrid w:val="0"/>
          <w:sz w:val="28"/>
          <w:szCs w:val="28"/>
        </w:rPr>
        <w:t>两年</w:t>
      </w:r>
      <w:r>
        <w:rPr>
          <w:rFonts w:hint="eastAsia" w:ascii="仿宋_GB2312" w:hAnsi="仿宋_GB2312" w:eastAsia="仿宋_GB2312" w:cs="仿宋_GB2312"/>
          <w:snapToGrid w:val="0"/>
          <w:sz w:val="28"/>
          <w:szCs w:val="28"/>
        </w:rPr>
        <w:t>，在此期间乙方应按照相关的国家规范和行业标准的规定对其产品负责。质保期自货物安装、调试完成，经甲方确认后开始起算。</w:t>
      </w:r>
    </w:p>
    <w:p w14:paraId="4A16D561">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napToGrid w:val="0"/>
          <w:sz w:val="28"/>
          <w:szCs w:val="28"/>
        </w:rPr>
        <w:t>3、质保期内因乙方原因导致甲方损失的，乙方应承担赔偿责任。</w:t>
      </w:r>
    </w:p>
    <w:p w14:paraId="529BA997">
      <w:pPr>
        <w:keepNext w:val="0"/>
        <w:keepLines w:val="0"/>
        <w:pageBreakBefore w:val="0"/>
        <w:kinsoku/>
        <w:overflowPunct/>
        <w:topLinePunct w:val="0"/>
        <w:autoSpaceDE/>
        <w:autoSpaceDN/>
        <w:bidi w:val="0"/>
        <w:snapToGrid/>
        <w:spacing w:line="570" w:lineRule="exact"/>
        <w:ind w:left="557" w:leftChars="232"/>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十一、其它约定事项：</w:t>
      </w:r>
    </w:p>
    <w:p w14:paraId="7797C3B3">
      <w:pPr>
        <w:keepNext w:val="0"/>
        <w:keepLines w:val="0"/>
        <w:pageBreakBefore w:val="0"/>
        <w:widowControl w:val="0"/>
        <w:kinsoku/>
        <w:topLinePunct w:val="0"/>
        <w:bidi w:val="0"/>
        <w:adjustRightInd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lang w:val="en-US" w:eastAsia="zh-CN"/>
        </w:rPr>
        <w:t>1、乙方有义务在合同执行量到80%时提醒甲方，否则在订单下达时超过合同执行量的订单为无效订单。</w:t>
      </w:r>
    </w:p>
    <w:p w14:paraId="5F28D03C">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lang w:val="en-US" w:eastAsia="zh-CN"/>
        </w:rPr>
        <w:t>2</w:t>
      </w:r>
      <w:r>
        <w:rPr>
          <w:rFonts w:hint="eastAsia" w:ascii="仿宋_GB2312" w:hAnsi="仿宋_GB2312" w:eastAsia="仿宋_GB2312" w:cs="仿宋_GB2312"/>
          <w:snapToGrid w:val="0"/>
          <w:sz w:val="28"/>
          <w:szCs w:val="28"/>
        </w:rPr>
        <w:t>、乙方在履行本合同过程中应确保安全施工，如发生意外人身损害事故或其他安全事故的，由乙方承担全部责任，甲方不承担任何责任和赔偿。</w:t>
      </w:r>
    </w:p>
    <w:p w14:paraId="43E624FB">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lang w:val="en-US" w:eastAsia="zh-CN"/>
        </w:rPr>
        <w:t>3</w:t>
      </w:r>
      <w:r>
        <w:rPr>
          <w:rFonts w:hint="eastAsia" w:ascii="仿宋_GB2312" w:hAnsi="仿宋_GB2312" w:eastAsia="仿宋_GB2312" w:cs="仿宋_GB2312"/>
          <w:snapToGrid w:val="0"/>
          <w:sz w:val="28"/>
          <w:szCs w:val="28"/>
        </w:rPr>
        <w:t>、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权权利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621F45BD">
      <w:pPr>
        <w:keepNext w:val="0"/>
        <w:keepLines w:val="0"/>
        <w:pageBreakBefore w:val="0"/>
        <w:kinsoku/>
        <w:overflowPunct/>
        <w:topLinePunct w:val="0"/>
        <w:autoSpaceDE/>
        <w:autoSpaceDN/>
        <w:bidi w:val="0"/>
        <w:snapToGrid/>
        <w:spacing w:line="570" w:lineRule="exact"/>
        <w:ind w:firstLine="56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lang w:val="en-US" w:eastAsia="zh-CN"/>
        </w:rPr>
        <w:t>4</w:t>
      </w:r>
      <w:r>
        <w:rPr>
          <w:rFonts w:hint="eastAsia" w:ascii="仿宋_GB2312" w:hAnsi="仿宋_GB2312" w:eastAsia="仿宋_GB2312" w:cs="仿宋_GB2312"/>
          <w:snapToGrid w:val="0"/>
          <w:sz w:val="28"/>
          <w:szCs w:val="28"/>
        </w:rPr>
        <w:t>、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7B76429C">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lang w:val="en-US" w:eastAsia="zh-CN"/>
        </w:rPr>
        <w:t>5</w:t>
      </w:r>
      <w:r>
        <w:rPr>
          <w:rFonts w:hint="eastAsia" w:ascii="仿宋_GB2312" w:hAnsi="仿宋_GB2312" w:eastAsia="仿宋_GB2312" w:cs="仿宋_GB2312"/>
          <w:snapToGrid w:val="0"/>
          <w:sz w:val="28"/>
          <w:szCs w:val="28"/>
        </w:rPr>
        <w:t>、本合同经甲方、乙方签字盖章后生效，如有变动，必须经甲方、乙方协商一致后方可更改。本合同一式肆份，甲方叁份，乙方壹份。</w:t>
      </w:r>
    </w:p>
    <w:p w14:paraId="206F25E9">
      <w:pPr>
        <w:keepNext w:val="0"/>
        <w:keepLines w:val="0"/>
        <w:pageBreakBefore w:val="0"/>
        <w:kinsoku/>
        <w:overflowPunct/>
        <w:topLinePunct w:val="0"/>
        <w:autoSpaceDE/>
        <w:autoSpaceDN/>
        <w:bidi w:val="0"/>
        <w:snapToGrid/>
        <w:spacing w:line="57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lang w:val="en-US" w:eastAsia="zh-CN"/>
        </w:rPr>
        <w:t>6</w:t>
      </w:r>
      <w:r>
        <w:rPr>
          <w:rFonts w:hint="eastAsia" w:ascii="仿宋_GB2312" w:hAnsi="仿宋_GB2312" w:eastAsia="仿宋_GB2312" w:cs="仿宋_GB2312"/>
          <w:snapToGrid w:val="0"/>
          <w:sz w:val="28"/>
          <w:szCs w:val="28"/>
        </w:rPr>
        <w:t>、因履行本合同引起的或与本合同有关的争议，甲、乙双方应首先通过友好协商解决，如果协商不能解决争议，可以向甲方所在地人民法院提起诉讼。</w:t>
      </w:r>
    </w:p>
    <w:p w14:paraId="754883C3">
      <w:pPr>
        <w:keepNext w:val="0"/>
        <w:keepLines w:val="0"/>
        <w:pageBreakBefore w:val="0"/>
        <w:kinsoku/>
        <w:overflowPunct/>
        <w:topLinePunct w:val="0"/>
        <w:autoSpaceDE/>
        <w:autoSpaceDN/>
        <w:bidi w:val="0"/>
        <w:snapToGrid/>
        <w:spacing w:line="570" w:lineRule="exact"/>
        <w:rPr>
          <w:rFonts w:hint="eastAsia" w:ascii="仿宋_GB2312" w:hAnsi="仿宋_GB2312" w:eastAsia="仿宋_GB2312" w:cs="仿宋_GB2312"/>
          <w:snapToGrid w:val="0"/>
          <w:sz w:val="21"/>
          <w:szCs w:val="21"/>
        </w:rPr>
      </w:pPr>
    </w:p>
    <w:p w14:paraId="1BC16842">
      <w:pPr>
        <w:keepNext w:val="0"/>
        <w:keepLines w:val="0"/>
        <w:pageBreakBefore w:val="0"/>
        <w:kinsoku/>
        <w:overflowPunct/>
        <w:topLinePunct w:val="0"/>
        <w:autoSpaceDE/>
        <w:autoSpaceDN/>
        <w:bidi w:val="0"/>
        <w:snapToGrid/>
        <w:spacing w:line="570" w:lineRule="exact"/>
        <w:rPr>
          <w:rFonts w:hint="eastAsia" w:ascii="仿宋_GB2312" w:hAnsi="仿宋_GB2312" w:eastAsia="仿宋_GB2312" w:cs="仿宋_GB2312"/>
          <w:szCs w:val="24"/>
        </w:rPr>
      </w:pPr>
    </w:p>
    <w:p w14:paraId="5614D55F">
      <w:pPr>
        <w:keepNext w:val="0"/>
        <w:keepLines w:val="0"/>
        <w:pageBreakBefore w:val="0"/>
        <w:kinsoku/>
        <w:overflowPunct/>
        <w:topLinePunct w:val="0"/>
        <w:autoSpaceDE/>
        <w:autoSpaceDN/>
        <w:bidi w:val="0"/>
        <w:snapToGrid/>
        <w:spacing w:line="570" w:lineRule="exact"/>
        <w:rPr>
          <w:rFonts w:hint="eastAsia" w:ascii="仿宋_GB2312" w:hAnsi="仿宋_GB2312" w:eastAsia="仿宋_GB2312" w:cs="仿宋_GB2312"/>
          <w:szCs w:val="24"/>
        </w:rPr>
      </w:pPr>
    </w:p>
    <w:p w14:paraId="38AD6857">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zCs w:val="24"/>
        </w:rPr>
      </w:pPr>
      <w:r>
        <w:rPr>
          <w:rFonts w:hint="eastAsia" w:ascii="仿宋_GB2312" w:hAnsi="仿宋_GB2312" w:eastAsia="仿宋_GB2312" w:cs="仿宋_GB2312"/>
          <w:szCs w:val="24"/>
        </w:rPr>
        <w:t>此页无正文</w:t>
      </w:r>
    </w:p>
    <w:p w14:paraId="761CFFB0">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napToGrid w:val="0"/>
          <w:sz w:val="21"/>
          <w:szCs w:val="21"/>
        </w:rPr>
      </w:pPr>
    </w:p>
    <w:p w14:paraId="45D04B84">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napToGrid w:val="0"/>
          <w:sz w:val="21"/>
          <w:szCs w:val="21"/>
        </w:rPr>
      </w:pPr>
    </w:p>
    <w:p w14:paraId="4A284CFE">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甲      方：                           乙     方：</w:t>
      </w:r>
    </w:p>
    <w:p w14:paraId="05C5844C">
      <w:pPr>
        <w:keepNext w:val="0"/>
        <w:keepLines w:val="0"/>
        <w:pageBreakBefore w:val="0"/>
        <w:widowControl w:val="0"/>
        <w:tabs>
          <w:tab w:val="left" w:pos="5115"/>
        </w:tabs>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单位名称（章）：                       单位名称（章）：</w:t>
      </w:r>
    </w:p>
    <w:p w14:paraId="71EFDB87">
      <w:pPr>
        <w:keepNext w:val="0"/>
        <w:keepLines w:val="0"/>
        <w:pageBreakBefore w:val="0"/>
        <w:widowControl w:val="0"/>
        <w:tabs>
          <w:tab w:val="left" w:pos="5115"/>
        </w:tabs>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napToGrid w:val="0"/>
          <w:sz w:val="18"/>
          <w:szCs w:val="18"/>
        </w:rPr>
      </w:pPr>
      <w:r>
        <w:rPr>
          <w:rFonts w:hint="eastAsia" w:ascii="仿宋_GB2312" w:hAnsi="仿宋_GB2312" w:eastAsia="仿宋_GB2312" w:cs="仿宋_GB2312"/>
          <w:snapToGrid w:val="0"/>
          <w:sz w:val="21"/>
          <w:szCs w:val="21"/>
        </w:rPr>
        <w:t>单位 地址：                            单位地址：</w:t>
      </w:r>
    </w:p>
    <w:p w14:paraId="4FD9D1B4">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法定代表人：                           法定代表人：</w:t>
      </w:r>
    </w:p>
    <w:p w14:paraId="5D23C305">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或委托代理人：                         或委托代表人：</w:t>
      </w:r>
    </w:p>
    <w:p w14:paraId="3FC6039F">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开户银行：                             开户银行：</w:t>
      </w:r>
    </w:p>
    <w:p w14:paraId="5B6F68B5">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银行帐号：                             银行帐号：</w:t>
      </w:r>
    </w:p>
    <w:p w14:paraId="6D4B496F">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    话：                             电    话：</w:t>
      </w:r>
    </w:p>
    <w:p w14:paraId="33C8007D">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仿宋_GB2312" w:hAnsi="仿宋_GB2312" w:eastAsia="仿宋_GB2312" w:cs="仿宋_GB2312"/>
          <w:szCs w:val="24"/>
        </w:rPr>
      </w:pPr>
    </w:p>
    <w:p w14:paraId="60040083">
      <w:pPr>
        <w:pStyle w:val="6"/>
        <w:rPr>
          <w:rFonts w:hint="eastAsia" w:ascii="仿宋_GB2312" w:hAnsi="仿宋_GB2312" w:eastAsia="仿宋_GB2312" w:cs="仿宋_GB2312"/>
          <w:szCs w:val="24"/>
        </w:rPr>
      </w:pPr>
    </w:p>
    <w:p w14:paraId="4D89C84C">
      <w:pPr>
        <w:pStyle w:val="6"/>
        <w:rPr>
          <w:rFonts w:hint="eastAsia" w:ascii="仿宋_GB2312" w:hAnsi="仿宋_GB2312" w:eastAsia="仿宋_GB2312" w:cs="仿宋_GB2312"/>
          <w:szCs w:val="24"/>
        </w:rPr>
      </w:pPr>
    </w:p>
    <w:p w14:paraId="12F35B4F">
      <w:pPr>
        <w:pStyle w:val="6"/>
        <w:rPr>
          <w:rFonts w:hint="eastAsia" w:ascii="仿宋_GB2312" w:hAnsi="仿宋_GB2312" w:eastAsia="仿宋_GB2312" w:cs="仿宋_GB2312"/>
          <w:szCs w:val="24"/>
        </w:rPr>
      </w:pPr>
    </w:p>
    <w:p w14:paraId="5BE92C8B"/>
    <w:p w14:paraId="2A67A6DA"/>
    <w:p w14:paraId="2F775E91"/>
    <w:p w14:paraId="229005C0"/>
    <w:p w14:paraId="00A75A17"/>
    <w:p w14:paraId="3AD9AB9A"/>
    <w:p w14:paraId="40FAA9D1"/>
    <w:p w14:paraId="16B4EA24"/>
    <w:p w14:paraId="24FF3918"/>
    <w:p w14:paraId="352A93CB"/>
    <w:p w14:paraId="23FAD9A2"/>
    <w:p w14:paraId="03D85640"/>
    <w:p w14:paraId="4F1F97D9"/>
    <w:p w14:paraId="5F5A0299"/>
    <w:p w14:paraId="4C14C2B9"/>
    <w:p w14:paraId="7BA527A3"/>
    <w:p w14:paraId="693DC28C"/>
    <w:p w14:paraId="246B1604"/>
    <w:p w14:paraId="05600479"/>
    <w:p w14:paraId="763FB3D8"/>
    <w:sectPr>
      <w:footerReference r:id="rId5" w:type="default"/>
      <w:footerReference r:id="rId6" w:type="even"/>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F5A5">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14:paraId="1286C31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03BC">
    <w:pPr>
      <w:pStyle w:val="2"/>
      <w:framePr w:wrap="around" w:vAnchor="text" w:hAnchor="margin" w:xAlign="center" w:y="1"/>
      <w:rPr>
        <w:rStyle w:val="5"/>
      </w:rPr>
    </w:pPr>
    <w:r>
      <w:fldChar w:fldCharType="begin"/>
    </w:r>
    <w:r>
      <w:rPr>
        <w:rStyle w:val="5"/>
      </w:rPr>
      <w:instrText xml:space="preserve">PAGE  </w:instrText>
    </w:r>
    <w:r>
      <w:fldChar w:fldCharType="end"/>
    </w:r>
  </w:p>
  <w:p w14:paraId="35603C81">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51BCA"/>
    <w:rsid w:val="3C4C00E2"/>
    <w:rsid w:val="3EC51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character" w:styleId="5">
    <w:name w:val="page number"/>
    <w:qFormat/>
    <w:uiPriority w:val="0"/>
  </w:style>
  <w:style w:type="paragraph" w:customStyle="1" w:styleId="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2718</Words>
  <Characters>2742</Characters>
  <Lines>0</Lines>
  <Paragraphs>0</Paragraphs>
  <TotalTime>1</TotalTime>
  <ScaleCrop>false</ScaleCrop>
  <LinksUpToDate>false</LinksUpToDate>
  <CharactersWithSpaces>2981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2025-03-19T00:43:00Z</dcterms:created>
  <dc:creator>李</dc:creator>
  <cp:lastModifiedBy>兰馥郁</cp:lastModifiedBy>
  <dcterms:modified xsi:type="dcterms:W3CDTF">2025-03-19T05:30:08Z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FBDDD40B98034508A47758877FA09548_11</vt:lpwstr>
  </property>
  <property fmtid="{D5CDD505-2E9C-101B-9397-08002B2CF9AE}" pid="4" name="KSOTemplateDocerSaveRecord">
    <vt:lpwstr>eyJoZGlkIjoiZDBiNTA3OWI5NTI5NzliMDdhOTA5Nzg1YzIyNTUzZDkiLCJ1c2VySWQiOiIyNzYwMTEwNDMifQ==</vt:lpwstr>
  </property>
</Properties>
</file>