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846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bookmarkStart w:id="0" w:name="_Toc32412_WPSOffice_Level1"/>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灯具技术文件</w:t>
      </w:r>
    </w:p>
    <w:p w14:paraId="4875367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(2025年5月30日)</w:t>
      </w:r>
    </w:p>
    <w:bookmarkEnd w:id="0"/>
    <w:p w14:paraId="60BB994C">
      <w:pPr>
        <w:pStyle w:val="2"/>
        <w:keepNext/>
        <w:keepLines/>
        <w:pageBreakBefore w:val="0"/>
        <w:widowControl w:val="0"/>
        <w:numPr>
          <w:ilvl w:val="0"/>
          <w:numId w:val="0"/>
        </w:numPr>
        <w:kinsoku/>
        <w:wordWrap/>
        <w:overflowPunct/>
        <w:topLinePunct w:val="0"/>
        <w:autoSpaceDE/>
        <w:autoSpaceDN/>
        <w:bidi w:val="0"/>
        <w:adjustRightInd/>
        <w:snapToGrid/>
        <w:spacing w:before="156" w:after="468" w:line="560" w:lineRule="exact"/>
        <w:jc w:val="left"/>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sz w:val="32"/>
          <w:szCs w:val="32"/>
          <w:lang w:eastAsia="zh-CN"/>
          <w14:textFill>
            <w14:solidFill>
              <w14:schemeClr w14:val="tx1"/>
            </w14:solidFill>
          </w14:textFill>
        </w:rPr>
        <w:t>清单</w:t>
      </w:r>
    </w:p>
    <w:tbl>
      <w:tblPr>
        <w:tblStyle w:val="4"/>
        <w:tblW w:w="10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039"/>
        <w:gridCol w:w="890"/>
        <w:gridCol w:w="778"/>
        <w:gridCol w:w="1488"/>
        <w:gridCol w:w="1352"/>
        <w:gridCol w:w="728"/>
        <w:gridCol w:w="2473"/>
      </w:tblGrid>
      <w:tr w14:paraId="443D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60" w:type="dxa"/>
            <w:noWrap w:val="0"/>
            <w:vAlign w:val="center"/>
          </w:tcPr>
          <w:p w14:paraId="0DA76F3A">
            <w:pPr>
              <w:pageBreakBefore w:val="0"/>
              <w:widowControl/>
              <w:kinsoku/>
              <w:wordWrap/>
              <w:overflowPunct/>
              <w:topLinePunct w:val="0"/>
              <w:bidi w:val="0"/>
              <w:spacing w:line="560" w:lineRule="exact"/>
              <w:jc w:val="center"/>
              <w:textAlignment w:val="top"/>
              <w:rPr>
                <w:rFonts w:hint="default" w:ascii="Times New Roman" w:hAnsi="Times New Roman" w:eastAsia="方正仿宋_GB2312"/>
                <w:color w:val="auto"/>
                <w:sz w:val="18"/>
                <w:szCs w:val="18"/>
                <w:highlight w:val="none"/>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2039" w:type="dxa"/>
            <w:noWrap w:val="0"/>
            <w:vAlign w:val="center"/>
          </w:tcPr>
          <w:p w14:paraId="158AA68F">
            <w:pPr>
              <w:pageBreakBefore w:val="0"/>
              <w:widowControl/>
              <w:kinsoku/>
              <w:wordWrap/>
              <w:overflowPunct/>
              <w:topLinePunct w:val="0"/>
              <w:bidi w:val="0"/>
              <w:spacing w:line="560" w:lineRule="exact"/>
              <w:jc w:val="center"/>
              <w:textAlignment w:val="top"/>
              <w:rPr>
                <w:rFonts w:hint="default" w:ascii="Times New Roman" w:hAnsi="Times New Roman" w:eastAsia="方正仿宋_GB2312"/>
                <w:color w:val="auto"/>
                <w:sz w:val="18"/>
                <w:szCs w:val="18"/>
                <w:highlight w:val="none"/>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名称</w:t>
            </w:r>
          </w:p>
        </w:tc>
        <w:tc>
          <w:tcPr>
            <w:tcW w:w="890" w:type="dxa"/>
            <w:noWrap w:val="0"/>
            <w:vAlign w:val="center"/>
          </w:tcPr>
          <w:p w14:paraId="484A5D56">
            <w:pPr>
              <w:pageBreakBefore w:val="0"/>
              <w:widowControl/>
              <w:kinsoku/>
              <w:wordWrap/>
              <w:overflowPunct/>
              <w:topLinePunct w:val="0"/>
              <w:bidi w:val="0"/>
              <w:spacing w:line="560" w:lineRule="exact"/>
              <w:jc w:val="center"/>
              <w:textAlignment w:val="top"/>
              <w:rPr>
                <w:rFonts w:hint="default" w:ascii="Times New Roman" w:hAnsi="Times New Roman" w:eastAsia="方正仿宋_GB2312"/>
                <w:color w:val="auto"/>
                <w:sz w:val="18"/>
                <w:szCs w:val="18"/>
                <w:highlight w:val="none"/>
                <w:lang w:val="en-US" w:eastAsia="zh-CN"/>
              </w:rPr>
            </w:pP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数量</w:t>
            </w:r>
          </w:p>
        </w:tc>
        <w:tc>
          <w:tcPr>
            <w:tcW w:w="778" w:type="dxa"/>
            <w:noWrap w:val="0"/>
            <w:vAlign w:val="center"/>
          </w:tcPr>
          <w:p w14:paraId="15EFFCD6">
            <w:pPr>
              <w:pageBreakBefore w:val="0"/>
              <w:widowControl/>
              <w:kinsoku/>
              <w:wordWrap/>
              <w:overflowPunct/>
              <w:topLinePunct w:val="0"/>
              <w:bidi w:val="0"/>
              <w:spacing w:line="560" w:lineRule="exact"/>
              <w:jc w:val="center"/>
              <w:textAlignment w:val="top"/>
              <w:rPr>
                <w:rFonts w:hint="default" w:ascii="Times New Roman" w:hAnsi="Times New Roman" w:eastAsia="方正仿宋_GB2312"/>
                <w:color w:val="auto"/>
                <w:sz w:val="18"/>
                <w:szCs w:val="18"/>
                <w:highlight w:val="none"/>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单位</w:t>
            </w:r>
          </w:p>
        </w:tc>
        <w:tc>
          <w:tcPr>
            <w:tcW w:w="1488" w:type="dxa"/>
            <w:noWrap w:val="0"/>
            <w:vAlign w:val="center"/>
          </w:tcPr>
          <w:p w14:paraId="33FE9B37">
            <w:pPr>
              <w:pageBreakBefore w:val="0"/>
              <w:widowControl/>
              <w:kinsoku/>
              <w:wordWrap/>
              <w:overflowPunct/>
              <w:topLinePunct w:val="0"/>
              <w:bidi w:val="0"/>
              <w:spacing w:line="560" w:lineRule="exact"/>
              <w:jc w:val="center"/>
              <w:textAlignment w:val="top"/>
              <w:rPr>
                <w:rFonts w:hint="default" w:ascii="仿宋_GB2312" w:hAnsi="仿宋_GB2312" w:eastAsia="仿宋_GB2312" w:cs="仿宋_GB2312"/>
                <w:b/>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单价限价（元）</w:t>
            </w:r>
          </w:p>
        </w:tc>
        <w:tc>
          <w:tcPr>
            <w:tcW w:w="1352" w:type="dxa"/>
            <w:noWrap w:val="0"/>
            <w:vAlign w:val="center"/>
          </w:tcPr>
          <w:p w14:paraId="438E5169">
            <w:pPr>
              <w:pageBreakBefore w:val="0"/>
              <w:widowControl/>
              <w:kinsoku/>
              <w:wordWrap/>
              <w:overflowPunct/>
              <w:topLinePunct w:val="0"/>
              <w:bidi w:val="0"/>
              <w:spacing w:line="560" w:lineRule="exact"/>
              <w:jc w:val="center"/>
              <w:textAlignment w:val="top"/>
              <w:rPr>
                <w:rFonts w:hint="default" w:ascii="仿宋_GB2312" w:hAnsi="仿宋_GB2312" w:eastAsia="仿宋_GB2312" w:cs="仿宋_GB2312"/>
                <w:b/>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合计（元）</w:t>
            </w:r>
          </w:p>
        </w:tc>
        <w:tc>
          <w:tcPr>
            <w:tcW w:w="728" w:type="dxa"/>
            <w:noWrap w:val="0"/>
            <w:vAlign w:val="center"/>
          </w:tcPr>
          <w:p w14:paraId="657EF543">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防水要求</w:t>
            </w:r>
          </w:p>
        </w:tc>
        <w:tc>
          <w:tcPr>
            <w:tcW w:w="2473" w:type="dxa"/>
            <w:noWrap w:val="0"/>
            <w:vAlign w:val="center"/>
          </w:tcPr>
          <w:p w14:paraId="3BBE1797">
            <w:pPr>
              <w:pageBreakBefore w:val="0"/>
              <w:widowControl/>
              <w:kinsoku/>
              <w:wordWrap/>
              <w:overflowPunct/>
              <w:topLinePunct w:val="0"/>
              <w:bidi w:val="0"/>
              <w:spacing w:line="560" w:lineRule="exact"/>
              <w:jc w:val="center"/>
              <w:textAlignment w:val="top"/>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编码</w:t>
            </w:r>
          </w:p>
        </w:tc>
      </w:tr>
      <w:tr w14:paraId="061A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60" w:type="dxa"/>
            <w:noWrap w:val="0"/>
            <w:vAlign w:val="center"/>
          </w:tcPr>
          <w:p w14:paraId="099FDA73">
            <w:pPr>
              <w:pageBreakBefore w:val="0"/>
              <w:widowControl/>
              <w:kinsoku/>
              <w:wordWrap/>
              <w:overflowPunct/>
              <w:topLinePunct w:val="0"/>
              <w:bidi w:val="0"/>
              <w:spacing w:line="560" w:lineRule="exact"/>
              <w:jc w:val="center"/>
              <w:textAlignment w:val="top"/>
              <w:rPr>
                <w:rFonts w:hint="eastAsia" w:ascii="Times New Roman" w:hAnsi="Times New Roman" w:eastAsia="方正仿宋_GB2312"/>
                <w:color w:val="auto"/>
                <w:sz w:val="18"/>
                <w:szCs w:val="18"/>
                <w:highlight w:val="none"/>
                <w:lang w:eastAsia="zh-CN"/>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w:t>
            </w:r>
          </w:p>
        </w:tc>
        <w:tc>
          <w:tcPr>
            <w:tcW w:w="2039" w:type="dxa"/>
            <w:noWrap w:val="0"/>
            <w:vAlign w:val="center"/>
          </w:tcPr>
          <w:p w14:paraId="6265FBF0">
            <w:pPr>
              <w:pageBreakBefore w:val="0"/>
              <w:widowControl/>
              <w:kinsoku/>
              <w:wordWrap/>
              <w:overflowPunct/>
              <w:topLinePunct w:val="0"/>
              <w:bidi w:val="0"/>
              <w:spacing w:line="560" w:lineRule="exact"/>
              <w:jc w:val="center"/>
              <w:textAlignment w:val="top"/>
              <w:rPr>
                <w:rFonts w:hint="default" w:ascii="Times New Roman" w:hAnsi="Times New Roman" w:eastAsia="方正仿宋_GB2312"/>
                <w:color w:val="auto"/>
                <w:sz w:val="18"/>
                <w:szCs w:val="18"/>
                <w:highlight w:val="none"/>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12W LED 壁灯(3000K)</w:t>
            </w:r>
          </w:p>
        </w:tc>
        <w:tc>
          <w:tcPr>
            <w:tcW w:w="890" w:type="dxa"/>
            <w:noWrap w:val="0"/>
            <w:vAlign w:val="center"/>
          </w:tcPr>
          <w:p w14:paraId="5B4539A0">
            <w:pPr>
              <w:pageBreakBefore w:val="0"/>
              <w:kinsoku/>
              <w:wordWrap/>
              <w:overflowPunct/>
              <w:topLinePunct w:val="0"/>
              <w:bidi w:val="0"/>
              <w:spacing w:line="560" w:lineRule="exact"/>
              <w:jc w:val="center"/>
              <w:rPr>
                <w:rFonts w:hint="default" w:ascii="Times New Roman" w:hAnsi="Times New Roman" w:eastAsia="方正仿宋_GB2312" w:cs="Times New Roman"/>
                <w:color w:val="auto"/>
                <w:kern w:val="0"/>
                <w:sz w:val="18"/>
                <w:szCs w:val="18"/>
                <w:highlight w:val="none"/>
                <w:lang w:val="en-US" w:eastAsia="zh-CN"/>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14</w:t>
            </w:r>
          </w:p>
        </w:tc>
        <w:tc>
          <w:tcPr>
            <w:tcW w:w="778" w:type="dxa"/>
            <w:noWrap w:val="0"/>
            <w:vAlign w:val="center"/>
          </w:tcPr>
          <w:p w14:paraId="7177DEDC">
            <w:pPr>
              <w:pageBreakBefore w:val="0"/>
              <w:kinsoku/>
              <w:wordWrap/>
              <w:overflowPunct/>
              <w:topLinePunct w:val="0"/>
              <w:bidi w:val="0"/>
              <w:spacing w:line="560" w:lineRule="exact"/>
              <w:jc w:val="center"/>
              <w:rPr>
                <w:rFonts w:hint="default" w:ascii="Times New Roman" w:hAnsi="Times New Roman" w:eastAsia="方正仿宋_GB2312"/>
                <w:color w:val="auto"/>
                <w:sz w:val="18"/>
                <w:szCs w:val="18"/>
                <w:highlight w:val="none"/>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套</w:t>
            </w:r>
          </w:p>
        </w:tc>
        <w:tc>
          <w:tcPr>
            <w:tcW w:w="1488" w:type="dxa"/>
            <w:noWrap w:val="0"/>
            <w:vAlign w:val="center"/>
          </w:tcPr>
          <w:p w14:paraId="539C3509">
            <w:pPr>
              <w:pageBreakBefore w:val="0"/>
              <w:kinsoku/>
              <w:wordWrap/>
              <w:overflowPunct/>
              <w:topLinePunct w:val="0"/>
              <w:autoSpaceDE w:val="0"/>
              <w:autoSpaceDN w:val="0"/>
              <w:bidi w:val="0"/>
              <w:adjustRightInd w:val="0"/>
              <w:spacing w:line="56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1152</w:t>
            </w:r>
          </w:p>
        </w:tc>
        <w:tc>
          <w:tcPr>
            <w:tcW w:w="1352" w:type="dxa"/>
            <w:noWrap w:val="0"/>
            <w:vAlign w:val="center"/>
          </w:tcPr>
          <w:p w14:paraId="520A65C6">
            <w:pPr>
              <w:pageBreakBefore w:val="0"/>
              <w:kinsoku/>
              <w:wordWrap/>
              <w:overflowPunct/>
              <w:topLinePunct w:val="0"/>
              <w:autoSpaceDE w:val="0"/>
              <w:autoSpaceDN w:val="0"/>
              <w:bidi w:val="0"/>
              <w:adjustRightInd w:val="0"/>
              <w:spacing w:line="56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16128</w:t>
            </w:r>
          </w:p>
        </w:tc>
        <w:tc>
          <w:tcPr>
            <w:tcW w:w="728" w:type="dxa"/>
            <w:noWrap w:val="0"/>
            <w:vAlign w:val="center"/>
          </w:tcPr>
          <w:p w14:paraId="13AD1D03">
            <w:pPr>
              <w:pageBreakBefore w:val="0"/>
              <w:kinsoku/>
              <w:wordWrap/>
              <w:overflowPunct/>
              <w:topLinePunct w:val="0"/>
              <w:autoSpaceDE w:val="0"/>
              <w:autoSpaceDN w:val="0"/>
              <w:bidi w:val="0"/>
              <w:adjustRightInd w:val="0"/>
              <w:spacing w:line="56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IP65</w:t>
            </w:r>
          </w:p>
        </w:tc>
        <w:tc>
          <w:tcPr>
            <w:tcW w:w="2473" w:type="dxa"/>
            <w:noWrap w:val="0"/>
            <w:vAlign w:val="center"/>
          </w:tcPr>
          <w:p w14:paraId="0A13433C">
            <w:pPr>
              <w:pageBreakBefore w:val="0"/>
              <w:kinsoku/>
              <w:wordWrap/>
              <w:overflowPunct/>
              <w:topLinePunct w:val="0"/>
              <w:autoSpaceDE w:val="0"/>
              <w:autoSpaceDN w:val="0"/>
              <w:bidi w:val="0"/>
              <w:adjustRightInd w:val="0"/>
              <w:spacing w:line="560" w:lineRule="exact"/>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0201311230000001</w:t>
            </w:r>
          </w:p>
        </w:tc>
      </w:tr>
    </w:tbl>
    <w:p w14:paraId="6A8C63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bookmarkStart w:id="1" w:name="_Toc24532"/>
    </w:p>
    <w:p w14:paraId="469EB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53637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03B75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27250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32EB0F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3930F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554FC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36E73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032DA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4CEAA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6D353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3D80A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7FC7B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10794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2B12A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5882E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highlight w:val="none"/>
          <w:lang w:eastAsia="zh-CN"/>
        </w:rPr>
        <w:t>投标须知</w:t>
      </w:r>
    </w:p>
    <w:p w14:paraId="0C383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highlight w:val="none"/>
          <w:lang w:val="en-US" w:eastAsia="zh-CN"/>
        </w:rPr>
        <w:t>常规要求</w:t>
      </w:r>
    </w:p>
    <w:p w14:paraId="644FF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报价</w:t>
      </w:r>
    </w:p>
    <w:p w14:paraId="5F45C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灯具报价含驱动电源、分控、信号放大器、常规支架（10cm及以内）、常规遮光板（与灯具一体化并与灯具长度相同，宽度6cm以内）、防坠落钢丝绳、灯具安装完毕所需所有螺栓、螺帽、防松垫片（包括灯具自带螺栓和安装用螺栓）、</w:t>
      </w:r>
      <w:r>
        <w:rPr>
          <w:rFonts w:hint="eastAsia" w:ascii="仿宋_GB2312" w:hAnsi="仿宋_GB2312" w:eastAsia="仿宋_GB2312" w:cs="仿宋_GB2312"/>
          <w:b w:val="0"/>
          <w:bCs w:val="0"/>
          <w:color w:val="auto"/>
          <w:sz w:val="32"/>
          <w:szCs w:val="32"/>
          <w:highlight w:val="none"/>
          <w:u w:val="none"/>
          <w:lang w:val="en-US" w:eastAsia="zh-CN"/>
        </w:rPr>
        <w:t>室外防水UTP超五类网络电缆、水晶头</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具体的数量、型号、颜色等参数应当与</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提供的技术性文件一致或由</w:t>
      </w:r>
      <w:r>
        <w:rPr>
          <w:rFonts w:hint="eastAsia" w:ascii="仿宋_GB2312" w:hAnsi="仿宋_GB2312" w:eastAsia="仿宋_GB2312" w:cs="仿宋_GB2312"/>
          <w:color w:val="auto"/>
          <w:sz w:val="32"/>
          <w:szCs w:val="32"/>
          <w:highlight w:val="none"/>
          <w:lang w:val="en-US" w:eastAsia="zh-CN"/>
        </w:rPr>
        <w:t>采购单位</w:t>
      </w:r>
      <w:r>
        <w:rPr>
          <w:rFonts w:hint="eastAsia" w:ascii="仿宋_GB2312" w:hAnsi="仿宋_GB2312" w:eastAsia="仿宋_GB2312" w:cs="仿宋_GB2312"/>
          <w:color w:val="auto"/>
          <w:sz w:val="32"/>
          <w:szCs w:val="32"/>
          <w:highlight w:val="none"/>
        </w:rPr>
        <w:t>审核确认。</w:t>
      </w:r>
    </w:p>
    <w:p w14:paraId="6F437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b w:val="0"/>
          <w:bCs w:val="0"/>
          <w:color w:val="auto"/>
          <w:sz w:val="32"/>
          <w:szCs w:val="32"/>
          <w:u w:val="none"/>
        </w:rPr>
        <w:t>所有投光灯类灯具必须</w:t>
      </w:r>
      <w:bookmarkStart w:id="27" w:name="_GoBack"/>
      <w:bookmarkEnd w:id="27"/>
      <w:r>
        <w:rPr>
          <w:rFonts w:hint="eastAsia" w:ascii="仿宋_GB2312" w:hAnsi="仿宋_GB2312" w:eastAsia="仿宋_GB2312" w:cs="仿宋_GB2312"/>
          <w:b w:val="0"/>
          <w:bCs w:val="0"/>
          <w:color w:val="auto"/>
          <w:sz w:val="32"/>
          <w:szCs w:val="32"/>
          <w:u w:val="none"/>
        </w:rPr>
        <w:t>按照采购方要求，可加装磨砂玻璃、扁光玻璃、布纹玻璃等。价格含在投标报价中。</w:t>
      </w:r>
    </w:p>
    <w:p w14:paraId="306B2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trike/>
          <w:dstrike w:val="0"/>
          <w:color w:val="auto"/>
          <w:sz w:val="32"/>
          <w:szCs w:val="32"/>
          <w:highlight w:val="none"/>
          <w:lang w:val="en-US" w:eastAsia="zh-CN"/>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rPr>
        <w:t>灯与灯之间的电源的</w:t>
      </w:r>
      <w:r>
        <w:rPr>
          <w:rFonts w:hint="eastAsia" w:ascii="仿宋_GB2312" w:hAnsi="仿宋_GB2312" w:eastAsia="仿宋_GB2312" w:cs="仿宋_GB2312"/>
          <w:color w:val="auto"/>
          <w:sz w:val="32"/>
          <w:szCs w:val="32"/>
          <w:highlight w:val="none"/>
          <w:lang w:val="en-US" w:eastAsia="zh-CN"/>
        </w:rPr>
        <w:t>插拔件、</w:t>
      </w:r>
      <w:r>
        <w:rPr>
          <w:rFonts w:hint="eastAsia" w:ascii="仿宋_GB2312" w:hAnsi="仿宋_GB2312" w:eastAsia="仿宋_GB2312" w:cs="仿宋_GB2312"/>
          <w:color w:val="auto"/>
          <w:sz w:val="32"/>
          <w:szCs w:val="32"/>
          <w:highlight w:val="none"/>
        </w:rPr>
        <w:t>连接线</w:t>
      </w:r>
      <w:r>
        <w:rPr>
          <w:rFonts w:hint="eastAsia" w:ascii="仿宋_GB2312" w:hAnsi="仿宋_GB2312" w:eastAsia="仿宋_GB2312" w:cs="仿宋_GB2312"/>
          <w:color w:val="auto"/>
          <w:sz w:val="32"/>
          <w:szCs w:val="32"/>
          <w:highlight w:val="none"/>
          <w:lang w:val="en-US" w:eastAsia="zh-CN"/>
        </w:rPr>
        <w:t>(1.5 米及以内)</w:t>
      </w:r>
      <w:r>
        <w:rPr>
          <w:rFonts w:hint="eastAsia" w:ascii="仿宋_GB2312" w:hAnsi="仿宋_GB2312" w:eastAsia="仿宋_GB2312" w:cs="仿宋_GB2312"/>
          <w:color w:val="auto"/>
          <w:sz w:val="32"/>
          <w:szCs w:val="32"/>
          <w:highlight w:val="none"/>
        </w:rPr>
        <w:t>、公母头、三通等线缆及辅材由投标单位提供，价格含在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具体规格和数量应当满足主采购合同中相应数量灯具的安装</w:t>
      </w:r>
      <w:r>
        <w:rPr>
          <w:rFonts w:hint="eastAsia" w:ascii="仿宋_GB2312" w:hAnsi="仿宋_GB2312" w:eastAsia="仿宋_GB2312" w:cs="仿宋_GB2312"/>
          <w:color w:val="auto"/>
          <w:sz w:val="32"/>
          <w:szCs w:val="32"/>
          <w:highlight w:val="none"/>
          <w:lang w:val="en-US" w:eastAsia="zh-CN"/>
        </w:rPr>
        <w:t>。</w:t>
      </w:r>
    </w:p>
    <w:p w14:paraId="752F6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eastAsia="zh-CN"/>
        </w:rPr>
        <w:t>灯具效果调试等事宜的全部费用</w:t>
      </w:r>
      <w:r>
        <w:rPr>
          <w:rFonts w:hint="eastAsia" w:ascii="仿宋_GB2312" w:hAnsi="仿宋_GB2312" w:eastAsia="仿宋_GB2312" w:cs="仿宋_GB2312"/>
          <w:color w:val="auto"/>
          <w:sz w:val="32"/>
          <w:szCs w:val="32"/>
          <w:highlight w:val="none"/>
        </w:rPr>
        <w:t>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w:t>
      </w:r>
    </w:p>
    <w:p w14:paraId="11E71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主控、非常规支架、非常规遮光板</w:t>
      </w:r>
      <w:r>
        <w:rPr>
          <w:rFonts w:hint="eastAsia" w:ascii="仿宋_GB2312" w:hAnsi="仿宋_GB2312" w:eastAsia="仿宋_GB2312" w:cs="仿宋_GB2312"/>
          <w:color w:val="auto"/>
          <w:sz w:val="32"/>
          <w:szCs w:val="32"/>
          <w:highlight w:val="none"/>
          <w:lang w:eastAsia="zh-CN"/>
        </w:rPr>
        <w:t>的价格，不含在灯具报价中。</w:t>
      </w:r>
    </w:p>
    <w:p w14:paraId="20904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rPr>
        <w:t>由于</w:t>
      </w:r>
      <w:r>
        <w:rPr>
          <w:rFonts w:hint="eastAsia" w:ascii="仿宋_GB2312" w:hAnsi="仿宋_GB2312" w:eastAsia="仿宋_GB2312" w:cs="仿宋_GB2312"/>
          <w:color w:val="auto"/>
          <w:sz w:val="32"/>
          <w:szCs w:val="32"/>
          <w:highlight w:val="none"/>
          <w:lang w:eastAsia="zh-CN"/>
        </w:rPr>
        <w:t>中标单位</w:t>
      </w:r>
      <w:r>
        <w:rPr>
          <w:rFonts w:hint="eastAsia" w:ascii="仿宋_GB2312" w:hAnsi="仿宋_GB2312" w:eastAsia="仿宋_GB2312" w:cs="仿宋_GB2312"/>
          <w:color w:val="auto"/>
          <w:sz w:val="32"/>
          <w:szCs w:val="32"/>
          <w:highlight w:val="none"/>
        </w:rPr>
        <w:t>的原因造成灯具</w:t>
      </w:r>
      <w:r>
        <w:rPr>
          <w:rFonts w:hint="eastAsia" w:ascii="仿宋_GB2312" w:hAnsi="仿宋_GB2312" w:eastAsia="仿宋_GB2312" w:cs="仿宋_GB2312"/>
          <w:color w:val="auto"/>
          <w:sz w:val="32"/>
          <w:szCs w:val="32"/>
          <w:highlight w:val="none"/>
          <w:lang w:eastAsia="zh-CN"/>
        </w:rPr>
        <w:t>及配件的质量、</w:t>
      </w:r>
      <w:r>
        <w:rPr>
          <w:rFonts w:hint="eastAsia" w:ascii="仿宋_GB2312" w:hAnsi="仿宋_GB2312" w:eastAsia="仿宋_GB2312" w:cs="仿宋_GB2312"/>
          <w:color w:val="auto"/>
          <w:sz w:val="32"/>
          <w:szCs w:val="32"/>
          <w:highlight w:val="none"/>
        </w:rPr>
        <w:t>效果不符合要求的，所产生的返工更换等全部费用含在</w:t>
      </w:r>
      <w:r>
        <w:rPr>
          <w:rFonts w:hint="eastAsia" w:ascii="仿宋_GB2312" w:hAnsi="仿宋_GB2312" w:eastAsia="仿宋_GB2312" w:cs="仿宋_GB2312"/>
          <w:color w:val="auto"/>
          <w:sz w:val="32"/>
          <w:szCs w:val="32"/>
          <w:highlight w:val="none"/>
          <w:lang w:eastAsia="zh-CN"/>
        </w:rPr>
        <w:t>灯具</w:t>
      </w:r>
      <w:r>
        <w:rPr>
          <w:rFonts w:hint="eastAsia" w:ascii="仿宋_GB2312" w:hAnsi="仿宋_GB2312" w:eastAsia="仿宋_GB2312" w:cs="仿宋_GB2312"/>
          <w:color w:val="auto"/>
          <w:sz w:val="32"/>
          <w:szCs w:val="32"/>
          <w:highlight w:val="none"/>
        </w:rPr>
        <w:t>投标价格中。</w:t>
      </w:r>
      <w:r>
        <w:rPr>
          <w:rFonts w:hint="eastAsia" w:ascii="仿宋_GB2312" w:hAnsi="仿宋_GB2312" w:eastAsia="仿宋_GB2312" w:cs="仿宋_GB2312"/>
          <w:color w:val="auto"/>
          <w:sz w:val="32"/>
          <w:szCs w:val="32"/>
          <w:highlight w:val="none"/>
          <w:lang w:eastAsia="zh-CN"/>
        </w:rPr>
        <w:t>造成误工延期的，承担相应误工费用。</w:t>
      </w:r>
    </w:p>
    <w:p w14:paraId="3E417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rPr>
        <w:t>报价包含运输至采购单位仓库</w:t>
      </w:r>
      <w:r>
        <w:rPr>
          <w:rFonts w:hint="eastAsia" w:ascii="仿宋_GB2312" w:hAnsi="仿宋_GB2312" w:eastAsia="仿宋_GB2312" w:cs="仿宋_GB2312"/>
          <w:color w:val="auto"/>
          <w:sz w:val="32"/>
          <w:szCs w:val="32"/>
          <w:highlight w:val="none"/>
          <w:lang w:val="en-US" w:eastAsia="zh-CN"/>
        </w:rPr>
        <w:t>或采购单位指定地点</w:t>
      </w:r>
      <w:r>
        <w:rPr>
          <w:rFonts w:hint="eastAsia" w:ascii="仿宋_GB2312" w:hAnsi="仿宋_GB2312" w:eastAsia="仿宋_GB2312" w:cs="仿宋_GB2312"/>
          <w:color w:val="auto"/>
          <w:sz w:val="32"/>
          <w:szCs w:val="32"/>
          <w:highlight w:val="none"/>
        </w:rPr>
        <w:t>入库检验的相关费用。在运输、装卸等环节，必须做好成品保护，确保货物完好无损。</w:t>
      </w:r>
      <w:r>
        <w:rPr>
          <w:rFonts w:hint="eastAsia" w:ascii="仿宋_GB2312" w:hAnsi="仿宋_GB2312" w:eastAsia="仿宋_GB2312" w:cs="仿宋_GB2312"/>
          <w:color w:val="auto"/>
          <w:sz w:val="32"/>
          <w:szCs w:val="32"/>
          <w:highlight w:val="none"/>
          <w:lang w:val="en-US" w:eastAsia="zh-CN"/>
        </w:rPr>
        <w:t>关于灯具的运输、装卸、组装、成品保护等相关</w:t>
      </w:r>
      <w:r>
        <w:rPr>
          <w:rFonts w:hint="eastAsia" w:ascii="仿宋_GB2312" w:hAnsi="仿宋_GB2312" w:eastAsia="仿宋_GB2312" w:cs="仿宋_GB2312"/>
          <w:color w:val="auto"/>
          <w:sz w:val="32"/>
          <w:szCs w:val="32"/>
          <w:highlight w:val="none"/>
        </w:rPr>
        <w:t>费用含在投标报价中。</w:t>
      </w:r>
    </w:p>
    <w:p w14:paraId="6D02C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8</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采购单位施工期间提供的调试、配合服务等现场配合工作所产生的费用含在投标报价中。</w:t>
      </w:r>
    </w:p>
    <w:p w14:paraId="78F4A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highlight w:val="none"/>
          <w:lang w:val="en-US" w:eastAsia="zh-CN"/>
        </w:rPr>
        <w:t>服务要求</w:t>
      </w:r>
    </w:p>
    <w:p w14:paraId="7B20D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深化设计</w:t>
      </w:r>
    </w:p>
    <w:p w14:paraId="7B735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中标单位应</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采购单位提供</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相关资料深化设计，根据照明效果和施工图，深化</w:t>
      </w:r>
      <w:r>
        <w:rPr>
          <w:rFonts w:hint="eastAsia" w:ascii="仿宋_GB2312" w:hAnsi="仿宋_GB2312" w:eastAsia="仿宋_GB2312" w:cs="仿宋_GB2312"/>
          <w:color w:val="auto"/>
          <w:sz w:val="32"/>
          <w:szCs w:val="32"/>
          <w:highlight w:val="none"/>
          <w:lang w:val="en-US" w:eastAsia="zh-CN"/>
        </w:rPr>
        <w:t>控制系统图，按现场实际需求明确分控、信号放大器等控制设施设备的数量和安装方式。按现场实际需求深化灯具安装方式，按灯具性能适配相应的驱动电源型号及数量，按现场实际需求深化电源安装方式，并通过采购单位最终确认。</w:t>
      </w:r>
    </w:p>
    <w:p w14:paraId="26DB4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供货要求</w:t>
      </w:r>
    </w:p>
    <w:p w14:paraId="280AF25E">
      <w:pPr>
        <w:pageBreakBefore w:val="0"/>
        <w:kinsoku/>
        <w:wordWrap/>
        <w:overflowPunct/>
        <w:topLinePunct w:val="0"/>
        <w:bidi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灯具、配件和附件等应同时提供，未同时供货的视为未按要求供货，其中灯具、支架、防坠落装置应是已组装状态。</w:t>
      </w:r>
      <w:r>
        <w:rPr>
          <w:rFonts w:hint="eastAsia" w:ascii="仿宋_GB2312" w:hAnsi="仿宋_GB2312" w:eastAsia="仿宋_GB2312" w:cs="仿宋_GB2312"/>
          <w:color w:val="auto"/>
          <w:sz w:val="32"/>
          <w:szCs w:val="32"/>
          <w:highlight w:val="none"/>
          <w:lang w:val="en-US" w:eastAsia="zh-CN"/>
        </w:rPr>
        <w:t>批量供货前，灯具样品（外观、效果、检测报告等灯具技术参数）应通过采购单位最终确认。</w:t>
      </w:r>
    </w:p>
    <w:p w14:paraId="52826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施工过程中的服务</w:t>
      </w:r>
    </w:p>
    <w:p w14:paraId="4E7CCBF4">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中标单位</w:t>
      </w:r>
      <w:r>
        <w:rPr>
          <w:rFonts w:hint="eastAsia" w:ascii="仿宋_GB2312" w:hAnsi="仿宋_GB2312" w:eastAsia="仿宋_GB2312" w:cs="仿宋_GB2312"/>
          <w:color w:val="auto"/>
          <w:sz w:val="32"/>
          <w:szCs w:val="32"/>
          <w:highlight w:val="none"/>
          <w:lang w:eastAsia="zh-CN"/>
        </w:rPr>
        <w:t>需明确现场服务的技术人员名单。</w:t>
      </w:r>
      <w:r>
        <w:rPr>
          <w:rFonts w:hint="eastAsia" w:ascii="仿宋_GB2312" w:hAnsi="仿宋_GB2312" w:eastAsia="仿宋_GB2312" w:cs="仿宋_GB2312"/>
          <w:color w:val="auto"/>
          <w:sz w:val="32"/>
          <w:szCs w:val="32"/>
          <w:highlight w:val="none"/>
        </w:rPr>
        <w:t>在采购单位施工期间提供调试、配合服务工作，人员数量和调试进度应符合现场需求，</w:t>
      </w:r>
      <w:r>
        <w:rPr>
          <w:rFonts w:hint="eastAsia" w:ascii="仿宋_GB2312" w:hAnsi="仿宋_GB2312" w:eastAsia="仿宋_GB2312" w:cs="仿宋_GB2312"/>
          <w:color w:val="auto"/>
          <w:sz w:val="32"/>
          <w:szCs w:val="32"/>
          <w:highlight w:val="none"/>
          <w:lang w:eastAsia="zh-CN"/>
        </w:rPr>
        <w:t>否则由此产生的误工等费用从质保金中扣除，</w:t>
      </w:r>
      <w:r>
        <w:rPr>
          <w:rFonts w:hint="eastAsia" w:ascii="仿宋_GB2312" w:hAnsi="仿宋_GB2312" w:eastAsia="仿宋_GB2312" w:cs="仿宋_GB2312"/>
          <w:color w:val="auto"/>
          <w:sz w:val="32"/>
          <w:szCs w:val="32"/>
          <w:highlight w:val="none"/>
        </w:rPr>
        <w:t>中标单位的响应时间为24小时。</w:t>
      </w:r>
    </w:p>
    <w:p w14:paraId="041DD952">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7716FBB">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63EABECC">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53D32AE1">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15FDD70">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101949BF">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F25020D">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3F1D4BDF">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6244BD30">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5FFA6FF0">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1BA3F64">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3093157">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53ED547E">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3EFF9D54">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25A0F79E">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0CC6E3D6">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7449ACDC">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4796F4E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p>
    <w:p w14:paraId="67D9B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34276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69D25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6FE06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71705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kern w:val="2"/>
          <w:sz w:val="32"/>
          <w:szCs w:val="32"/>
          <w:lang w:val="en-US" w:eastAsia="zh-CN" w:bidi="ar-SA"/>
        </w:rPr>
      </w:pPr>
    </w:p>
    <w:p w14:paraId="45E82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color w:val="auto"/>
          <w:sz w:val="32"/>
          <w:szCs w:val="32"/>
          <w:highlight w:val="none"/>
          <w:lang w:eastAsia="zh-CN"/>
        </w:rPr>
        <w:t>技术通则要求</w:t>
      </w:r>
    </w:p>
    <w:p w14:paraId="601AB0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highlight w:val="none"/>
          <w:lang w:val="en-US" w:eastAsia="zh-CN"/>
        </w:rPr>
        <w:t>灯具应符合的技术标准</w:t>
      </w:r>
    </w:p>
    <w:p w14:paraId="005433B8">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凡是不注日期的引用文件，其最新版本（包括所有的修改单）适用于本文件。同时包括其他国家及江苏省现行标准规范、图集等；以及相关的灯具的现行的国家规范和标准。</w:t>
      </w:r>
    </w:p>
    <w:p w14:paraId="4D487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GB7000.1灯具 第1部分：一般要求与试验</w:t>
      </w:r>
      <w:r>
        <w:rPr>
          <w:rFonts w:hint="eastAsia" w:ascii="仿宋_GB2312" w:hAnsi="仿宋_GB2312" w:eastAsia="仿宋_GB2312" w:cs="仿宋_GB2312"/>
          <w:b w:val="0"/>
          <w:bCs w:val="0"/>
          <w:color w:val="auto"/>
          <w:sz w:val="32"/>
          <w:szCs w:val="32"/>
          <w:lang w:eastAsia="zh-CN"/>
        </w:rPr>
        <w:t>。</w:t>
      </w:r>
    </w:p>
    <w:p w14:paraId="549B9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GB7000.203灯具 第2-3部分：特殊要求 道路与街路照明灯具</w:t>
      </w:r>
      <w:r>
        <w:rPr>
          <w:rFonts w:hint="eastAsia" w:ascii="仿宋_GB2312" w:hAnsi="仿宋_GB2312" w:eastAsia="仿宋_GB2312" w:cs="仿宋_GB2312"/>
          <w:b w:val="0"/>
          <w:bCs w:val="0"/>
          <w:color w:val="auto"/>
          <w:sz w:val="32"/>
          <w:szCs w:val="32"/>
          <w:lang w:eastAsia="zh-CN"/>
        </w:rPr>
        <w:t>。</w:t>
      </w:r>
    </w:p>
    <w:p w14:paraId="08B5C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rPr>
        <w:t>GB7000.7投光灯具安全要求</w:t>
      </w:r>
      <w:r>
        <w:rPr>
          <w:rFonts w:hint="eastAsia" w:ascii="仿宋_GB2312" w:hAnsi="仿宋_GB2312" w:eastAsia="仿宋_GB2312" w:cs="仿宋_GB2312"/>
          <w:b w:val="0"/>
          <w:bCs w:val="0"/>
          <w:color w:val="auto"/>
          <w:sz w:val="32"/>
          <w:szCs w:val="32"/>
          <w:highlight w:val="none"/>
          <w:lang w:eastAsia="zh-CN"/>
        </w:rPr>
        <w:t>。</w:t>
      </w:r>
    </w:p>
    <w:p w14:paraId="79631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GB7000.10固定式通用灯具安全要求</w:t>
      </w:r>
      <w:r>
        <w:rPr>
          <w:rFonts w:hint="eastAsia" w:ascii="仿宋_GB2312" w:hAnsi="仿宋_GB2312" w:eastAsia="仿宋_GB2312" w:cs="仿宋_GB2312"/>
          <w:b w:val="0"/>
          <w:bCs w:val="0"/>
          <w:color w:val="auto"/>
          <w:sz w:val="32"/>
          <w:szCs w:val="32"/>
          <w:highlight w:val="none"/>
          <w:lang w:eastAsia="zh-CN"/>
        </w:rPr>
        <w:t>。</w:t>
      </w:r>
    </w:p>
    <w:p w14:paraId="40F25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GB 4208外壳防护等级（IP代码）</w:t>
      </w:r>
      <w:r>
        <w:rPr>
          <w:rFonts w:hint="eastAsia" w:ascii="仿宋_GB2312" w:hAnsi="仿宋_GB2312" w:eastAsia="仿宋_GB2312" w:cs="仿宋_GB2312"/>
          <w:b w:val="0"/>
          <w:bCs w:val="0"/>
          <w:color w:val="auto"/>
          <w:sz w:val="32"/>
          <w:szCs w:val="32"/>
          <w:highlight w:val="none"/>
          <w:lang w:eastAsia="zh-CN"/>
        </w:rPr>
        <w:t>。</w:t>
      </w:r>
    </w:p>
    <w:p w14:paraId="0214C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GB17743电气照明和类似设备的无线电骚扰特性的限值和测量方法</w:t>
      </w:r>
      <w:r>
        <w:rPr>
          <w:rFonts w:hint="eastAsia" w:ascii="仿宋_GB2312" w:hAnsi="仿宋_GB2312" w:eastAsia="仿宋_GB2312" w:cs="仿宋_GB2312"/>
          <w:b w:val="0"/>
          <w:bCs w:val="0"/>
          <w:color w:val="auto"/>
          <w:sz w:val="32"/>
          <w:szCs w:val="32"/>
          <w:highlight w:val="none"/>
          <w:lang w:eastAsia="zh-CN"/>
        </w:rPr>
        <w:t>。</w:t>
      </w:r>
    </w:p>
    <w:p w14:paraId="0408A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GB17625.1电磁兼限值谐波电流发射限值容</w:t>
      </w:r>
      <w:r>
        <w:rPr>
          <w:rFonts w:hint="eastAsia" w:ascii="仿宋_GB2312" w:hAnsi="仿宋_GB2312" w:eastAsia="仿宋_GB2312" w:cs="仿宋_GB2312"/>
          <w:b w:val="0"/>
          <w:bCs w:val="0"/>
          <w:color w:val="auto"/>
          <w:sz w:val="32"/>
          <w:szCs w:val="32"/>
          <w:highlight w:val="none"/>
          <w:lang w:eastAsia="zh-CN"/>
        </w:rPr>
        <w:t>。</w:t>
      </w:r>
    </w:p>
    <w:p w14:paraId="39819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GB/T18595一般照明用设备电磁兼容抗扰度要求</w:t>
      </w:r>
      <w:r>
        <w:rPr>
          <w:rFonts w:hint="eastAsia" w:ascii="仿宋_GB2312" w:hAnsi="仿宋_GB2312" w:eastAsia="仿宋_GB2312" w:cs="仿宋_GB2312"/>
          <w:b w:val="0"/>
          <w:bCs w:val="0"/>
          <w:color w:val="auto"/>
          <w:sz w:val="32"/>
          <w:szCs w:val="32"/>
          <w:highlight w:val="none"/>
          <w:lang w:eastAsia="zh-CN"/>
        </w:rPr>
        <w:t>。</w:t>
      </w:r>
    </w:p>
    <w:p w14:paraId="6341E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GB l7625.1电磁兼容限值谐波电流发射限值(设备每相输入电流≤16A)</w:t>
      </w:r>
      <w:r>
        <w:rPr>
          <w:rFonts w:hint="eastAsia" w:ascii="仿宋_GB2312" w:hAnsi="仿宋_GB2312" w:eastAsia="仿宋_GB2312" w:cs="仿宋_GB2312"/>
          <w:b w:val="0"/>
          <w:bCs w:val="0"/>
          <w:color w:val="auto"/>
          <w:sz w:val="32"/>
          <w:szCs w:val="32"/>
          <w:highlight w:val="none"/>
          <w:lang w:eastAsia="zh-CN"/>
        </w:rPr>
        <w:t>。</w:t>
      </w:r>
    </w:p>
    <w:p w14:paraId="141BA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QB/T1551灯具油漆涂层</w:t>
      </w:r>
      <w:r>
        <w:rPr>
          <w:rFonts w:hint="eastAsia" w:ascii="仿宋_GB2312" w:hAnsi="仿宋_GB2312" w:eastAsia="仿宋_GB2312" w:cs="仿宋_GB2312"/>
          <w:b w:val="0"/>
          <w:bCs w:val="0"/>
          <w:color w:val="auto"/>
          <w:sz w:val="32"/>
          <w:szCs w:val="32"/>
          <w:highlight w:val="none"/>
          <w:lang w:eastAsia="zh-CN"/>
        </w:rPr>
        <w:t>。</w:t>
      </w:r>
    </w:p>
    <w:p w14:paraId="1F0962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QB/T3741灯具电镀、化学覆盖层</w:t>
      </w:r>
      <w:r>
        <w:rPr>
          <w:rFonts w:hint="eastAsia" w:ascii="仿宋_GB2312" w:hAnsi="仿宋_GB2312" w:eastAsia="仿宋_GB2312" w:cs="仿宋_GB2312"/>
          <w:b w:val="0"/>
          <w:bCs w:val="0"/>
          <w:color w:val="auto"/>
          <w:sz w:val="32"/>
          <w:szCs w:val="32"/>
          <w:highlight w:val="none"/>
          <w:lang w:eastAsia="zh-CN"/>
        </w:rPr>
        <w:t>。</w:t>
      </w:r>
    </w:p>
    <w:p w14:paraId="2AD58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GB/T33721 LED灯具可靠性试验方法</w:t>
      </w:r>
      <w:r>
        <w:rPr>
          <w:rFonts w:hint="eastAsia" w:ascii="仿宋_GB2312" w:hAnsi="仿宋_GB2312" w:eastAsia="仿宋_GB2312" w:cs="仿宋_GB2312"/>
          <w:b w:val="0"/>
          <w:bCs w:val="0"/>
          <w:color w:val="auto"/>
          <w:sz w:val="32"/>
          <w:szCs w:val="32"/>
          <w:highlight w:val="none"/>
          <w:lang w:eastAsia="zh-CN"/>
        </w:rPr>
        <w:t>。</w:t>
      </w:r>
    </w:p>
    <w:p w14:paraId="53918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CJJ45 城市道路照明设计标准</w:t>
      </w:r>
      <w:r>
        <w:rPr>
          <w:rFonts w:hint="eastAsia" w:ascii="仿宋_GB2312" w:hAnsi="仿宋_GB2312" w:eastAsia="仿宋_GB2312" w:cs="仿宋_GB2312"/>
          <w:b w:val="0"/>
          <w:bCs w:val="0"/>
          <w:color w:val="auto"/>
          <w:sz w:val="32"/>
          <w:szCs w:val="32"/>
          <w:highlight w:val="none"/>
          <w:lang w:eastAsia="zh-CN"/>
        </w:rPr>
        <w:t>。</w:t>
      </w:r>
    </w:p>
    <w:p w14:paraId="4DB33A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JGJ/T 163 城市夜景照明设计规范</w:t>
      </w:r>
      <w:r>
        <w:rPr>
          <w:rFonts w:hint="eastAsia" w:ascii="仿宋_GB2312" w:hAnsi="仿宋_GB2312" w:eastAsia="仿宋_GB2312" w:cs="仿宋_GB2312"/>
          <w:b w:val="0"/>
          <w:bCs w:val="0"/>
          <w:color w:val="auto"/>
          <w:sz w:val="32"/>
          <w:szCs w:val="32"/>
          <w:highlight w:val="none"/>
          <w:lang w:eastAsia="zh-CN"/>
        </w:rPr>
        <w:t>。</w:t>
      </w:r>
    </w:p>
    <w:p w14:paraId="5ACEB3EE">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br w:type="page"/>
      </w:r>
    </w:p>
    <w:p w14:paraId="62C8E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bookmarkStart w:id="2" w:name="_Toc1793"/>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sz w:val="32"/>
          <w:szCs w:val="32"/>
          <w:highlight w:val="none"/>
          <w:lang w:val="en-US" w:eastAsia="zh-CN"/>
        </w:rPr>
        <w:t>灯具通则要求</w:t>
      </w:r>
      <w:bookmarkEnd w:id="2"/>
    </w:p>
    <w:p w14:paraId="66587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3" w:name="_Toc2014"/>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一般要求</w:t>
      </w:r>
      <w:bookmarkEnd w:id="3"/>
    </w:p>
    <w:p w14:paraId="73F6F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技术文件详参有规定的，按详参规定执行，没有详参规定的，按照本通则执行。</w:t>
      </w:r>
    </w:p>
    <w:p w14:paraId="32883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14:paraId="035BE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室外的螺杆、螺栓、垫片必须使用304</w:t>
      </w:r>
      <w:r>
        <w:rPr>
          <w:rFonts w:hint="eastAsia" w:ascii="仿宋_GB2312" w:hAnsi="仿宋_GB2312" w:eastAsia="仿宋_GB2312" w:cs="仿宋_GB2312"/>
          <w:color w:val="auto"/>
          <w:sz w:val="32"/>
          <w:szCs w:val="32"/>
          <w:highlight w:val="none"/>
          <w:lang w:val="en-US" w:eastAsia="zh-CN"/>
        </w:rPr>
        <w:t xml:space="preserve">/2B </w:t>
      </w:r>
      <w:r>
        <w:rPr>
          <w:rFonts w:hint="eastAsia" w:ascii="仿宋_GB2312" w:hAnsi="仿宋_GB2312" w:eastAsia="仿宋_GB2312" w:cs="仿宋_GB2312"/>
          <w:color w:val="auto"/>
          <w:sz w:val="32"/>
          <w:szCs w:val="32"/>
          <w:highlight w:val="none"/>
        </w:rPr>
        <w:t>不锈钢材质。</w:t>
      </w:r>
    </w:p>
    <w:p w14:paraId="5A941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4" w:name="_Toc24646"/>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rPr>
        <w:t>所有投光灯类灯具</w:t>
      </w:r>
      <w:r>
        <w:rPr>
          <w:rFonts w:hint="eastAsia" w:ascii="仿宋_GB2312" w:hAnsi="仿宋_GB2312" w:eastAsia="仿宋_GB2312" w:cs="仿宋_GB2312"/>
          <w:b w:val="0"/>
          <w:bCs w:val="0"/>
          <w:color w:val="auto"/>
          <w:sz w:val="32"/>
          <w:szCs w:val="32"/>
          <w:lang w:val="en-US" w:eastAsia="zh-CN"/>
        </w:rPr>
        <w:t>应因地制宜，按需</w:t>
      </w:r>
      <w:r>
        <w:rPr>
          <w:rFonts w:hint="eastAsia" w:ascii="仿宋_GB2312" w:hAnsi="仿宋_GB2312" w:eastAsia="仿宋_GB2312" w:cs="仿宋_GB2312"/>
          <w:b w:val="0"/>
          <w:bCs w:val="0"/>
          <w:color w:val="auto"/>
          <w:sz w:val="32"/>
          <w:szCs w:val="32"/>
        </w:rPr>
        <w:t>配置防眩光遮罩、挡板或遮光格栅，</w:t>
      </w:r>
      <w:r>
        <w:rPr>
          <w:rFonts w:hint="eastAsia" w:ascii="仿宋_GB2312" w:hAnsi="仿宋_GB2312" w:eastAsia="仿宋_GB2312" w:cs="仿宋_GB2312"/>
          <w:b w:val="0"/>
          <w:bCs w:val="0"/>
          <w:color w:val="auto"/>
          <w:sz w:val="32"/>
          <w:szCs w:val="32"/>
          <w:lang w:val="en-US" w:eastAsia="zh-CN"/>
        </w:rPr>
        <w:t>并保证灯具整体的美观性和适配性，</w:t>
      </w:r>
      <w:r>
        <w:rPr>
          <w:rFonts w:hint="eastAsia" w:ascii="仿宋_GB2312" w:hAnsi="仿宋_GB2312" w:eastAsia="仿宋_GB2312" w:cs="仿宋_GB2312"/>
          <w:b w:val="0"/>
          <w:bCs w:val="0"/>
          <w:color w:val="auto"/>
          <w:sz w:val="32"/>
          <w:szCs w:val="32"/>
        </w:rPr>
        <w:t>避免眩光和光污染。中标单位必须按照采购单位的要求和项目具体的实施情况及时调整。</w:t>
      </w:r>
    </w:p>
    <w:p w14:paraId="466E8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kern w:val="2"/>
          <w:sz w:val="32"/>
          <w:szCs w:val="32"/>
          <w:lang w:val="en-US" w:eastAsia="zh-CN" w:bidi="ar-SA"/>
        </w:rPr>
        <w:t>(5)</w:t>
      </w:r>
      <w:r>
        <w:rPr>
          <w:rFonts w:hint="eastAsia" w:ascii="仿宋_GB2312" w:hAnsi="仿宋_GB2312" w:eastAsia="仿宋_GB2312" w:cs="仿宋_GB2312"/>
          <w:b w:val="0"/>
          <w:bCs w:val="0"/>
          <w:color w:val="auto"/>
          <w:sz w:val="32"/>
          <w:szCs w:val="32"/>
          <w:u w:val="none"/>
        </w:rPr>
        <w:t>所有投光灯类灯具必须按照采购方要求，可加装磨砂玻璃、扁光玻璃、布纹玻璃等。</w:t>
      </w:r>
    </w:p>
    <w:p w14:paraId="0D628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rPr>
        <w:t>中标后，中标单位踏勘现场，根据灯具安装条件，深化灯具颜色安装支架</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配件的设计，按照采购单位的要求和项目具体的实施情况及时调整。所有灯具提供灯具</w:t>
      </w:r>
      <w:r>
        <w:rPr>
          <w:rFonts w:hint="eastAsia" w:ascii="仿宋_GB2312" w:hAnsi="仿宋_GB2312" w:eastAsia="仿宋_GB2312" w:cs="仿宋_GB2312"/>
          <w:color w:val="auto"/>
          <w:sz w:val="32"/>
          <w:szCs w:val="32"/>
          <w:highlight w:val="none"/>
          <w:lang w:val="en-US" w:eastAsia="zh-CN"/>
        </w:rPr>
        <w:t>样品</w:t>
      </w:r>
      <w:r>
        <w:rPr>
          <w:rFonts w:hint="eastAsia" w:ascii="仿宋_GB2312" w:hAnsi="仿宋_GB2312" w:eastAsia="仿宋_GB2312" w:cs="仿宋_GB2312"/>
          <w:color w:val="auto"/>
          <w:sz w:val="32"/>
          <w:szCs w:val="32"/>
          <w:highlight w:val="none"/>
        </w:rPr>
        <w:t>，经采购单位目视检验最终确认后，才能按照灯具订单批量提供灯具，并提供灯具安装说明书。</w:t>
      </w:r>
      <w:bookmarkStart w:id="5" w:name="_Toc15096"/>
    </w:p>
    <w:p w14:paraId="1BB31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rPr>
        <w:t>中标后灯具供应阶段，灯具抽样</w:t>
      </w:r>
      <w:r>
        <w:rPr>
          <w:rFonts w:hint="eastAsia" w:ascii="仿宋_GB2312" w:hAnsi="仿宋_GB2312" w:eastAsia="仿宋_GB2312" w:cs="仿宋_GB2312"/>
          <w:color w:val="auto"/>
          <w:sz w:val="32"/>
          <w:szCs w:val="32"/>
          <w:highlight w:val="none"/>
          <w:lang w:val="en-US" w:eastAsia="zh-CN"/>
        </w:rPr>
        <w:t>由采购单位</w:t>
      </w:r>
      <w:r>
        <w:rPr>
          <w:rFonts w:hint="eastAsia" w:ascii="仿宋_GB2312" w:hAnsi="仿宋_GB2312" w:eastAsia="仿宋_GB2312" w:cs="仿宋_GB2312"/>
          <w:color w:val="auto"/>
          <w:sz w:val="32"/>
          <w:szCs w:val="32"/>
          <w:highlight w:val="none"/>
        </w:rPr>
        <w:t>送国家</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权威机构检测</w:t>
      </w:r>
      <w:r>
        <w:rPr>
          <w:rFonts w:hint="eastAsia" w:ascii="仿宋_GB2312" w:hAnsi="仿宋_GB2312" w:eastAsia="仿宋_GB2312" w:cs="仿宋_GB2312"/>
          <w:color w:val="auto"/>
          <w:sz w:val="32"/>
          <w:szCs w:val="32"/>
          <w:highlight w:val="none"/>
          <w:lang w:eastAsia="zh-CN"/>
        </w:rPr>
        <w:t>(国家市场监督管理总局，网址http://cx.cnca.cn/CertECloud/index/index/page内国家质检中心名录内的检测机构)</w:t>
      </w:r>
      <w:r>
        <w:rPr>
          <w:rFonts w:hint="eastAsia" w:ascii="仿宋_GB2312" w:hAnsi="仿宋_GB2312" w:eastAsia="仿宋_GB2312" w:cs="仿宋_GB2312"/>
          <w:color w:val="auto"/>
          <w:sz w:val="32"/>
          <w:szCs w:val="32"/>
          <w:highlight w:val="none"/>
        </w:rPr>
        <w:t>。</w:t>
      </w:r>
    </w:p>
    <w:p w14:paraId="25BC9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8</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灯具的工作环境温度：-20℃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+60℃。湿度：0%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90%。在此工作温度、湿度下灯具可连续正常工作，并符合相应的国家灯具规范。</w:t>
      </w:r>
    </w:p>
    <w:p w14:paraId="12D2E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2.LED光源要求</w:t>
      </w:r>
      <w:bookmarkEnd w:id="5"/>
    </w:p>
    <w:p w14:paraId="72BCF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该类灯具的主要原材料光源封装颗粒品牌</w:t>
      </w:r>
      <w:r>
        <w:rPr>
          <w:rFonts w:hint="eastAsia" w:ascii="仿宋_GB2312" w:hAnsi="仿宋_GB2312" w:eastAsia="仿宋_GB2312" w:cs="仿宋_GB2312"/>
          <w:b w:val="0"/>
          <w:bCs w:val="0"/>
          <w:color w:val="auto"/>
          <w:sz w:val="32"/>
          <w:szCs w:val="32"/>
          <w:highlight w:val="none"/>
          <w:lang w:val="en-US" w:eastAsia="zh-CN"/>
        </w:rPr>
        <w:t>推荐</w:t>
      </w:r>
      <w:r>
        <w:rPr>
          <w:rFonts w:hint="eastAsia" w:ascii="仿宋_GB2312" w:hAnsi="仿宋_GB2312" w:eastAsia="仿宋_GB2312" w:cs="仿宋_GB2312"/>
          <w:b w:val="0"/>
          <w:bCs w:val="0"/>
          <w:color w:val="auto"/>
          <w:sz w:val="32"/>
          <w:szCs w:val="32"/>
          <w:highlight w:val="none"/>
        </w:rPr>
        <w:t>科锐（CREE）、飞利浦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PHILIPS）、欧司朗（OSRAM）、日亚（NICHIA）。</w:t>
      </w:r>
    </w:p>
    <w:p w14:paraId="02C32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LED单色芯片的色差必须符合下表的要求</w:t>
      </w:r>
      <w:r>
        <w:rPr>
          <w:rFonts w:hint="eastAsia" w:ascii="仿宋_GB2312" w:hAnsi="仿宋_GB2312" w:eastAsia="仿宋_GB2312" w:cs="仿宋_GB2312"/>
          <w:color w:val="auto"/>
          <w:sz w:val="32"/>
          <w:szCs w:val="32"/>
          <w:highlight w:val="none"/>
          <w:lang w:eastAsia="zh-CN"/>
        </w:rPr>
        <w:t>：</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028"/>
        <w:gridCol w:w="3570"/>
      </w:tblGrid>
      <w:tr w14:paraId="3CDB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shd w:val="clear" w:color="auto" w:fill="auto"/>
            <w:vAlign w:val="center"/>
          </w:tcPr>
          <w:p w14:paraId="6989D628">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4028" w:type="dxa"/>
            <w:shd w:val="clear" w:color="auto" w:fill="auto"/>
            <w:vAlign w:val="center"/>
          </w:tcPr>
          <w:p w14:paraId="25E14F14">
            <w:pPr>
              <w:pageBreakBefore w:val="0"/>
              <w:kinsoku/>
              <w:wordWrap/>
              <w:overflowPunct/>
              <w:topLinePunct w:val="0"/>
              <w:bidi w:val="0"/>
              <w:spacing w:line="56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色温/色彩</w:t>
            </w:r>
          </w:p>
        </w:tc>
        <w:tc>
          <w:tcPr>
            <w:tcW w:w="3570" w:type="dxa"/>
            <w:shd w:val="clear" w:color="auto" w:fill="auto"/>
          </w:tcPr>
          <w:p w14:paraId="354F2BA3">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偏差</w:t>
            </w:r>
          </w:p>
        </w:tc>
      </w:tr>
      <w:tr w14:paraId="49E4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14:paraId="799C8B28">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w:t>
            </w:r>
          </w:p>
        </w:tc>
        <w:tc>
          <w:tcPr>
            <w:tcW w:w="4028" w:type="dxa"/>
            <w:vAlign w:val="center"/>
          </w:tcPr>
          <w:p w14:paraId="7177EC30">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3000K</w:t>
            </w:r>
          </w:p>
        </w:tc>
        <w:tc>
          <w:tcPr>
            <w:tcW w:w="3570" w:type="dxa"/>
            <w:vAlign w:val="center"/>
          </w:tcPr>
          <w:p w14:paraId="33FB7E0D">
            <w:pPr>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K</w:t>
            </w:r>
          </w:p>
        </w:tc>
      </w:tr>
    </w:tbl>
    <w:p w14:paraId="013F6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rPr>
        <w:t>白光LED灯具的色容差应符合以下规定：同型号白光LED灯具，色容差</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SDCM。</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p>
    <w:p w14:paraId="6E5E9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highlight w:val="none"/>
        </w:rPr>
        <w:t>LED</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应满足拥有LM-80认证，</w:t>
      </w:r>
      <w:r>
        <w:rPr>
          <w:rFonts w:hint="eastAsia" w:ascii="仿宋_GB2312" w:hAnsi="仿宋_GB2312" w:eastAsia="仿宋_GB2312" w:cs="仿宋_GB2312"/>
          <w:b w:val="0"/>
          <w:bCs w:val="0"/>
          <w:color w:val="auto"/>
          <w:sz w:val="32"/>
          <w:szCs w:val="32"/>
          <w:highlight w:val="none"/>
          <w:lang w:val="en-US" w:eastAsia="zh-CN"/>
        </w:rPr>
        <w:t>光源</w:t>
      </w:r>
      <w:r>
        <w:rPr>
          <w:rFonts w:hint="eastAsia" w:ascii="仿宋_GB2312" w:hAnsi="仿宋_GB2312" w:eastAsia="仿宋_GB2312" w:cs="仿宋_GB2312"/>
          <w:b w:val="0"/>
          <w:bCs w:val="0"/>
          <w:color w:val="auto"/>
          <w:sz w:val="32"/>
          <w:szCs w:val="32"/>
          <w:highlight w:val="none"/>
        </w:rPr>
        <w:t>寿命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5万小时。</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p>
    <w:p w14:paraId="7E447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(5)</w:t>
      </w:r>
      <w:r>
        <w:rPr>
          <w:rFonts w:hint="eastAsia" w:ascii="仿宋_GB2312" w:hAnsi="仿宋_GB2312" w:eastAsia="仿宋_GB2312" w:cs="仿宋_GB2312"/>
          <w:b w:val="0"/>
          <w:bCs w:val="0"/>
          <w:color w:val="auto"/>
          <w:sz w:val="32"/>
          <w:szCs w:val="32"/>
          <w:highlight w:val="none"/>
        </w:rPr>
        <w:t>LED颗粒的显色指数（CRI）：白光LED一般显色指数Ra</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80</w:t>
      </w:r>
      <w:r>
        <w:rPr>
          <w:rFonts w:hint="eastAsia" w:ascii="仿宋_GB2312" w:hAnsi="仿宋_GB2312" w:eastAsia="仿宋_GB2312" w:cs="仿宋_GB2312"/>
          <w:b w:val="0"/>
          <w:bCs w:val="0"/>
          <w:color w:val="auto"/>
          <w:sz w:val="32"/>
          <w:szCs w:val="32"/>
        </w:rPr>
        <w:t>，且R9＞0。</w:t>
      </w:r>
      <w:r>
        <w:rPr>
          <w:rFonts w:hint="eastAsia" w:ascii="仿宋_GB2312" w:hAnsi="仿宋_GB2312" w:eastAsia="仿宋_GB2312" w:cs="仿宋_GB2312"/>
          <w:b w:val="0"/>
          <w:bCs w:val="0"/>
          <w:color w:val="auto"/>
          <w:sz w:val="32"/>
          <w:szCs w:val="32"/>
          <w:highlight w:val="none"/>
          <w:lang w:val="en-US" w:eastAsia="zh-CN"/>
        </w:rPr>
        <w:t>若灯具详细参数中另有规定，则按规定实施。</w:t>
      </w:r>
    </w:p>
    <w:p w14:paraId="6DBA1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6" w:name="_Toc517"/>
    </w:p>
    <w:p w14:paraId="3B9D6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3.LED灯具输入电压要求</w:t>
      </w:r>
      <w:bookmarkEnd w:id="6"/>
    </w:p>
    <w:p w14:paraId="4D1F8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7" w:name="_Toc18301"/>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rPr>
        <w:t>详细参数标明输入电压为220V的灯具为内置驱动电源。详细参数未标明输入电压的为外置驱动电源集中供电。</w:t>
      </w:r>
    </w:p>
    <w:p w14:paraId="0F82C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rPr>
        <w:t>详细参数未标明输入电压的，其输入电压必须为DC24V。详细参数标明输入电压的，按详细参数执行。</w:t>
      </w:r>
    </w:p>
    <w:bookmarkEnd w:id="7"/>
    <w:p w14:paraId="4B919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8" w:name="_Toc13353"/>
      <w:r>
        <w:rPr>
          <w:rFonts w:hint="eastAsia" w:ascii="仿宋_GB2312" w:hAnsi="仿宋_GB2312" w:eastAsia="仿宋_GB2312" w:cs="仿宋_GB2312"/>
          <w:b/>
          <w:bCs/>
          <w:color w:val="auto"/>
          <w:sz w:val="32"/>
          <w:szCs w:val="32"/>
          <w:highlight w:val="none"/>
          <w:lang w:val="en-US" w:eastAsia="zh-CN"/>
        </w:rPr>
        <w:t>4.外观及结构要求</w:t>
      </w:r>
      <w:bookmarkEnd w:id="8"/>
    </w:p>
    <w:p w14:paraId="54F97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外观质量：灯具的表面应光滑，以防污物堆积和便于清洗;无损伤、变形、涂层剥落，玻璃罩应无气泡、明显划痕和裂纹等缺陷。</w:t>
      </w:r>
    </w:p>
    <w:p w14:paraId="328FF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highlight w:val="none"/>
        </w:rPr>
        <w:t>外形尺寸：允许偏差范围标明区间的灯具尺寸在要求范围内为满足要求；未标明尺寸允许偏差范围的灯具尺寸上下浮动10%为满足要求。</w:t>
      </w:r>
      <w:r>
        <w:rPr>
          <w:rFonts w:hint="eastAsia" w:ascii="仿宋_GB2312" w:hAnsi="仿宋_GB2312" w:eastAsia="仿宋_GB2312" w:cs="仿宋_GB2312"/>
          <w:b w:val="0"/>
          <w:bCs w:val="0"/>
          <w:color w:val="auto"/>
          <w:sz w:val="32"/>
          <w:szCs w:val="32"/>
          <w:lang w:val="en-US" w:eastAsia="zh-CN"/>
        </w:rPr>
        <w:t>大功率投光灯（≥50W）需结合安装位置合理控制灯具重量，经采购单位确认后批量供货。</w:t>
      </w:r>
    </w:p>
    <w:p w14:paraId="426A2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lang w:val="en-US" w:eastAsia="zh-CN"/>
        </w:rPr>
        <w:t>产品</w:t>
      </w:r>
      <w:r>
        <w:rPr>
          <w:rFonts w:hint="eastAsia" w:ascii="仿宋_GB2312" w:hAnsi="仿宋_GB2312" w:eastAsia="仿宋_GB2312" w:cs="仿宋_GB2312"/>
          <w:b w:val="0"/>
          <w:bCs w:val="0"/>
          <w:color w:val="auto"/>
          <w:sz w:val="32"/>
          <w:szCs w:val="32"/>
          <w:highlight w:val="none"/>
        </w:rPr>
        <w:t>：未标明尺寸允许偏差范围的按照GB-T1804的精度M级别标准执行。</w:t>
      </w:r>
    </w:p>
    <w:p w14:paraId="1BD04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highlight w:val="none"/>
        </w:rPr>
        <w:t>灯具应安装方便，灯具出线方式不能影响现场安装。投光类灯具安装角度应能灵活调节。确定安装角度后，灯具有锁死固定功能。灯具应有特设的导线出(入)口密封装置。灯具内应有电源接线端子，外部接线和内部接线穿过硬质材料时应有保护措施。灯具应配备一个耐温度骤变、废气、烟雾和其他化学物质的钢化玻璃罩。</w:t>
      </w:r>
    </w:p>
    <w:p w14:paraId="31406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(5)</w:t>
      </w:r>
      <w:r>
        <w:rPr>
          <w:rFonts w:hint="eastAsia" w:ascii="仿宋_GB2312" w:hAnsi="仿宋_GB2312" w:eastAsia="仿宋_GB2312" w:cs="仿宋_GB2312"/>
          <w:b w:val="0"/>
          <w:bCs w:val="0"/>
          <w:color w:val="auto"/>
          <w:sz w:val="32"/>
          <w:szCs w:val="32"/>
          <w:highlight w:val="none"/>
        </w:rPr>
        <w:t>所有LED灯具引出线线径应符合GB7000.1（灯具 第1部分：一般要求与试验）的要求，引出线长度按照现场安装情况提供，确保灯与灯之间连线符合最优化。一个回路的灯具可成串提供，灯具引出线满足现场安装要求。芯线颜色必须符合国标要求，且有明显区别。</w:t>
      </w:r>
    </w:p>
    <w:p w14:paraId="67411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(6)</w:t>
      </w:r>
      <w:r>
        <w:rPr>
          <w:rFonts w:hint="eastAsia" w:ascii="仿宋_GB2312" w:hAnsi="仿宋_GB2312" w:eastAsia="仿宋_GB2312" w:cs="仿宋_GB2312"/>
          <w:b w:val="0"/>
          <w:bCs w:val="0"/>
          <w:color w:val="auto"/>
          <w:sz w:val="32"/>
          <w:szCs w:val="32"/>
          <w:highlight w:val="none"/>
        </w:rPr>
        <w:t>有针对感应雷击及静电的专用防护元件，器件性能符合IEC61000-4-4（电磁兼容-第4-4部分:试验和测量技术-电快速瞬变脉冲群抗扰度试验）的检测标准。</w:t>
      </w:r>
    </w:p>
    <w:p w14:paraId="5E48B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(7)</w:t>
      </w:r>
      <w:r>
        <w:rPr>
          <w:rFonts w:hint="eastAsia" w:ascii="仿宋_GB2312" w:hAnsi="仿宋_GB2312" w:eastAsia="仿宋_GB2312" w:cs="仿宋_GB2312"/>
          <w:b w:val="0"/>
          <w:bCs w:val="0"/>
          <w:color w:val="auto"/>
          <w:sz w:val="32"/>
          <w:szCs w:val="32"/>
          <w:highlight w:val="none"/>
        </w:rPr>
        <w:t>明装灯具及其安装附件及嵌装灯具的颜色纹理需与背景墙面颜色一致，由</w:t>
      </w:r>
      <w:r>
        <w:rPr>
          <w:rFonts w:hint="eastAsia" w:ascii="仿宋_GB2312" w:hAnsi="仿宋_GB2312" w:eastAsia="仿宋_GB2312" w:cs="仿宋_GB2312"/>
          <w:b w:val="0"/>
          <w:bCs w:val="0"/>
          <w:color w:val="auto"/>
          <w:sz w:val="32"/>
          <w:szCs w:val="32"/>
          <w:highlight w:val="none"/>
          <w:lang w:val="en-US" w:eastAsia="zh-CN"/>
        </w:rPr>
        <w:t>采购单位</w:t>
      </w:r>
      <w:r>
        <w:rPr>
          <w:rFonts w:hint="eastAsia" w:ascii="仿宋_GB2312" w:hAnsi="仿宋_GB2312" w:eastAsia="仿宋_GB2312" w:cs="仿宋_GB2312"/>
          <w:b w:val="0"/>
          <w:bCs w:val="0"/>
          <w:color w:val="auto"/>
          <w:sz w:val="32"/>
          <w:szCs w:val="32"/>
          <w:highlight w:val="none"/>
        </w:rPr>
        <w:t>确定色卡号。</w:t>
      </w:r>
    </w:p>
    <w:p w14:paraId="1E8A8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(8)</w:t>
      </w:r>
      <w:r>
        <w:rPr>
          <w:rFonts w:hint="eastAsia" w:ascii="仿宋_GB2312" w:hAnsi="仿宋_GB2312" w:eastAsia="仿宋_GB2312" w:cs="仿宋_GB2312"/>
          <w:b w:val="0"/>
          <w:bCs w:val="0"/>
          <w:color w:val="auto"/>
          <w:sz w:val="32"/>
          <w:szCs w:val="32"/>
        </w:rPr>
        <w:t>灯具必须采用结</w:t>
      </w:r>
      <w:r>
        <w:rPr>
          <w:rFonts w:hint="eastAsia" w:ascii="仿宋_GB2312" w:hAnsi="仿宋_GB2312" w:eastAsia="仿宋_GB2312" w:cs="仿宋_GB2312"/>
          <w:b w:val="0"/>
          <w:bCs w:val="0"/>
          <w:color w:val="auto"/>
          <w:sz w:val="32"/>
          <w:szCs w:val="32"/>
          <w:highlight w:val="none"/>
        </w:rPr>
        <w:t>构防水，防护等级</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嵌入式地埋灯具</w:t>
      </w:r>
      <w:r>
        <w:rPr>
          <w:rFonts w:hint="eastAsia" w:ascii="仿宋_GB2312" w:hAnsi="仿宋_GB2312" w:eastAsia="仿宋_GB2312" w:cs="仿宋_GB2312"/>
          <w:b w:val="0"/>
          <w:bCs w:val="0"/>
          <w:color w:val="auto"/>
          <w:sz w:val="32"/>
          <w:szCs w:val="32"/>
          <w:highlight w:val="none"/>
        </w:rPr>
        <w:t>防护等级</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7，水下灯具</w:t>
      </w:r>
      <w:r>
        <w:rPr>
          <w:rFonts w:hint="eastAsia" w:ascii="仿宋_GB2312" w:hAnsi="仿宋_GB2312" w:eastAsia="仿宋_GB2312" w:cs="仿宋_GB2312"/>
          <w:b w:val="0"/>
          <w:bCs w:val="0"/>
          <w:color w:val="auto"/>
          <w:sz w:val="32"/>
          <w:szCs w:val="32"/>
          <w:highlight w:val="none"/>
        </w:rPr>
        <w:t>防护等级</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lang w:eastAsia="zh-CN"/>
        </w:rPr>
        <w:t>IP6</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灯具防尘防水等级（IP等级）指</w:t>
      </w:r>
      <w:r>
        <w:rPr>
          <w:rFonts w:hint="eastAsia" w:ascii="仿宋_GB2312" w:hAnsi="仿宋_GB2312" w:eastAsia="仿宋_GB2312" w:cs="仿宋_GB2312"/>
          <w:b w:val="0"/>
          <w:bCs w:val="0"/>
          <w:color w:val="auto"/>
          <w:sz w:val="32"/>
          <w:szCs w:val="32"/>
          <w:highlight w:val="none"/>
        </w:rPr>
        <w:t>：防水接头、接线、匹配电源、灯具四部分的防尘防水等级。</w:t>
      </w:r>
      <w:r>
        <w:rPr>
          <w:rFonts w:hint="eastAsia" w:ascii="仿宋_GB2312" w:hAnsi="仿宋_GB2312" w:eastAsia="仿宋_GB2312" w:cs="仿宋_GB2312"/>
          <w:b w:val="0"/>
          <w:bCs w:val="0"/>
          <w:color w:val="auto"/>
          <w:sz w:val="32"/>
          <w:szCs w:val="32"/>
          <w:highlight w:val="none"/>
          <w:lang w:val="en-US" w:eastAsia="zh-CN"/>
        </w:rPr>
        <w:t>公母头、三通等辅材的</w:t>
      </w:r>
      <w:r>
        <w:rPr>
          <w:rFonts w:hint="eastAsia" w:ascii="仿宋_GB2312" w:hAnsi="仿宋_GB2312" w:eastAsia="仿宋_GB2312" w:cs="仿宋_GB2312"/>
          <w:b w:val="0"/>
          <w:bCs w:val="0"/>
          <w:color w:val="auto"/>
          <w:sz w:val="32"/>
          <w:szCs w:val="32"/>
          <w:highlight w:val="none"/>
        </w:rPr>
        <w:t>防护等级</w:t>
      </w:r>
      <w:r>
        <w:rPr>
          <w:rFonts w:hint="eastAsia" w:ascii="宋体" w:hAnsi="宋体" w:eastAsia="宋体" w:cs="宋体"/>
          <w:b w:val="0"/>
          <w:bCs w:val="0"/>
          <w:color w:val="auto"/>
          <w:sz w:val="32"/>
          <w:szCs w:val="32"/>
          <w:highlight w:val="none"/>
          <w:lang w:val="en-US" w:eastAsia="zh-CN"/>
        </w:rPr>
        <w:t>高于</w:t>
      </w:r>
      <w:r>
        <w:rPr>
          <w:rFonts w:hint="eastAsia" w:ascii="仿宋_GB2312" w:hAnsi="仿宋_GB2312" w:eastAsia="仿宋_GB2312" w:cs="仿宋_GB2312"/>
          <w:b w:val="0"/>
          <w:bCs w:val="0"/>
          <w:color w:val="auto"/>
          <w:sz w:val="32"/>
          <w:szCs w:val="32"/>
          <w:highlight w:val="none"/>
        </w:rPr>
        <w:t>IP6</w:t>
      </w:r>
      <w:r>
        <w:rPr>
          <w:rFonts w:hint="eastAsia" w:ascii="仿宋_GB2312" w:hAnsi="仿宋_GB2312" w:eastAsia="仿宋_GB2312" w:cs="仿宋_GB2312"/>
          <w:b w:val="0"/>
          <w:bCs w:val="0"/>
          <w:color w:val="auto"/>
          <w:sz w:val="32"/>
          <w:szCs w:val="32"/>
          <w:highlight w:val="none"/>
          <w:lang w:val="en-US" w:eastAsia="zh-CN"/>
        </w:rPr>
        <w:t>5。</w:t>
      </w:r>
    </w:p>
    <w:p w14:paraId="38B9D74E">
      <w:pPr>
        <w:pStyle w:val="6"/>
        <w:numPr>
          <w:ilvl w:val="0"/>
          <w:numId w:val="0"/>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bookmarkStart w:id="9" w:name="_Toc20504"/>
      <w:r>
        <w:rPr>
          <w:rFonts w:hint="default" w:ascii="仿宋_GB2312" w:hAnsi="仿宋_GB2312" w:eastAsia="仿宋_GB2312" w:cs="仿宋_GB2312"/>
          <w:b w:val="0"/>
          <w:bCs w:val="0"/>
          <w:color w:val="auto"/>
          <w:kern w:val="2"/>
          <w:sz w:val="32"/>
          <w:szCs w:val="32"/>
          <w:lang w:val="en-US" w:eastAsia="zh-CN" w:bidi="ar-SA"/>
        </w:rPr>
        <w:t>(9)</w:t>
      </w:r>
      <w:r>
        <w:rPr>
          <w:rFonts w:hint="eastAsia" w:ascii="仿宋_GB2312" w:hAnsi="仿宋_GB2312" w:eastAsia="仿宋_GB2312" w:cs="仿宋_GB2312"/>
          <w:b w:val="0"/>
          <w:bCs w:val="0"/>
          <w:color w:val="auto"/>
          <w:kern w:val="2"/>
          <w:sz w:val="32"/>
          <w:szCs w:val="32"/>
          <w:highlight w:val="none"/>
          <w:lang w:val="en-US" w:eastAsia="zh-CN" w:bidi="ar-SA"/>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一体式注塑成型，无灌胶，接头材质具有PVCR0HS环保认证。</w:t>
      </w:r>
    </w:p>
    <w:p w14:paraId="38BCFE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5.材料要求</w:t>
      </w:r>
      <w:bookmarkEnd w:id="9"/>
    </w:p>
    <w:p w14:paraId="69598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14:paraId="5B577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lang w:val="en-US" w:eastAsia="zh-CN"/>
        </w:rPr>
        <w:t>灯具结构式防水，严禁外部打胶。</w:t>
      </w:r>
      <w:r>
        <w:rPr>
          <w:rFonts w:hint="eastAsia" w:ascii="仿宋_GB2312" w:hAnsi="仿宋_GB2312" w:eastAsia="仿宋_GB2312" w:cs="仿宋_GB2312"/>
          <w:b w:val="0"/>
          <w:bCs w:val="0"/>
          <w:color w:val="auto"/>
          <w:sz w:val="32"/>
          <w:szCs w:val="32"/>
          <w:highlight w:val="none"/>
        </w:rPr>
        <w:t xml:space="preserve">灯具密封圈需采用抗老化硅橡胶圈或同等、优于该材料。应耐温、耐老化和耐道路上可能出现的腐蚀性气体，并应方便更换。 </w:t>
      </w:r>
    </w:p>
    <w:p w14:paraId="679E9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78445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0" w:name="_Toc19172"/>
      <w:r>
        <w:rPr>
          <w:rFonts w:hint="eastAsia" w:ascii="仿宋_GB2312" w:hAnsi="仿宋_GB2312" w:eastAsia="仿宋_GB2312" w:cs="仿宋_GB2312"/>
          <w:b/>
          <w:bCs/>
          <w:color w:val="auto"/>
          <w:sz w:val="32"/>
          <w:szCs w:val="32"/>
          <w:highlight w:val="none"/>
          <w:lang w:val="en-US" w:eastAsia="zh-CN"/>
        </w:rPr>
        <w:t>6.耐腐蚀性要求</w:t>
      </w:r>
      <w:bookmarkEnd w:id="10"/>
    </w:p>
    <w:p w14:paraId="08F9350C">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w:t>
      </w:r>
      <w:r>
        <w:rPr>
          <w:rFonts w:hint="eastAsia" w:ascii="仿宋_GB2312" w:hAnsi="仿宋_GB2312" w:eastAsia="仿宋_GB2312" w:cs="仿宋_GB2312"/>
          <w:color w:val="auto"/>
          <w:sz w:val="32"/>
          <w:szCs w:val="32"/>
          <w:highlight w:val="none"/>
          <w:lang w:val="en-US" w:eastAsia="zh-CN"/>
        </w:rPr>
        <w:t>亚</w:t>
      </w:r>
      <w:r>
        <w:rPr>
          <w:rFonts w:hint="eastAsia" w:ascii="仿宋_GB2312" w:hAnsi="仿宋_GB2312" w:eastAsia="仿宋_GB2312" w:cs="仿宋_GB2312"/>
          <w:color w:val="auto"/>
          <w:sz w:val="32"/>
          <w:szCs w:val="32"/>
          <w:highlight w:val="none"/>
        </w:rPr>
        <w:t>克力材料部分保证5年不发黄。</w:t>
      </w:r>
    </w:p>
    <w:p w14:paraId="4C3CF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1" w:name="_Toc2295"/>
      <w:bookmarkStart w:id="12" w:name="_Toc4937"/>
      <w:bookmarkStart w:id="13" w:name="_Toc9926"/>
      <w:bookmarkStart w:id="14" w:name="_Toc6693"/>
      <w:bookmarkStart w:id="15" w:name="_Toc20838"/>
      <w:r>
        <w:rPr>
          <w:rFonts w:hint="eastAsia" w:ascii="仿宋_GB2312" w:hAnsi="仿宋_GB2312" w:eastAsia="仿宋_GB2312" w:cs="仿宋_GB2312"/>
          <w:b/>
          <w:bCs/>
          <w:color w:val="auto"/>
          <w:sz w:val="32"/>
          <w:szCs w:val="32"/>
          <w:highlight w:val="none"/>
          <w:lang w:val="en-US" w:eastAsia="zh-CN"/>
        </w:rPr>
        <w:t>7.电磁兼容</w:t>
      </w:r>
      <w:bookmarkEnd w:id="11"/>
      <w:bookmarkEnd w:id="12"/>
      <w:bookmarkEnd w:id="13"/>
      <w:bookmarkEnd w:id="14"/>
      <w:r>
        <w:rPr>
          <w:rFonts w:hint="eastAsia" w:ascii="仿宋_GB2312" w:hAnsi="仿宋_GB2312" w:eastAsia="仿宋_GB2312" w:cs="仿宋_GB2312"/>
          <w:b/>
          <w:bCs/>
          <w:color w:val="auto"/>
          <w:sz w:val="32"/>
          <w:szCs w:val="32"/>
          <w:highlight w:val="none"/>
          <w:lang w:val="en-US" w:eastAsia="zh-CN"/>
        </w:rPr>
        <w:t>要求</w:t>
      </w:r>
      <w:bookmarkEnd w:id="15"/>
    </w:p>
    <w:p w14:paraId="484C3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灯具的无线电骚扰特性应符合GB 17743的要求。</w:t>
      </w:r>
    </w:p>
    <w:p w14:paraId="678C6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highlight w:val="none"/>
        </w:rPr>
        <w:t>灯具电磁兼容抗扰度应符合GB/T 18595 的要求。</w:t>
      </w:r>
    </w:p>
    <w:p w14:paraId="1FFD04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rPr>
        <w:t>灯具的输入电流谐波应符合GB l7625.1的要求。</w:t>
      </w:r>
    </w:p>
    <w:p w14:paraId="1B45B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highlight w:val="none"/>
        </w:rPr>
        <w:t>LED电子控制装置应采用高压输出的LED电子控制装置，输出电流不超过1.5A。并应符合GB 19510.14的规定。</w:t>
      </w:r>
    </w:p>
    <w:p w14:paraId="35543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color w:val="auto"/>
          <w:highlight w:val="none"/>
          <w:lang w:val="en-US"/>
        </w:rPr>
      </w:pPr>
      <w:r>
        <w:rPr>
          <w:rFonts w:hint="eastAsia" w:ascii="仿宋_GB2312" w:hAnsi="仿宋_GB2312" w:eastAsia="仿宋_GB2312" w:cs="仿宋_GB2312"/>
          <w:b/>
          <w:bCs/>
          <w:color w:val="auto"/>
          <w:sz w:val="32"/>
          <w:szCs w:val="32"/>
          <w:highlight w:val="none"/>
          <w:lang w:val="en-US" w:eastAsia="zh-CN"/>
        </w:rPr>
        <w:t>8.灯具寿命、光衰、散热等要求</w:t>
      </w:r>
    </w:p>
    <w:p w14:paraId="20C300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灯</w:t>
      </w:r>
      <w:r>
        <w:rPr>
          <w:rFonts w:hint="eastAsia" w:ascii="仿宋_GB2312" w:hAnsi="仿宋_GB2312" w:eastAsia="仿宋_GB2312" w:cs="仿宋_GB2312"/>
          <w:b w:val="0"/>
          <w:bCs w:val="0"/>
          <w:color w:val="auto"/>
          <w:sz w:val="32"/>
          <w:szCs w:val="32"/>
          <w:highlight w:val="none"/>
          <w:lang w:val="en-US" w:eastAsia="zh-CN"/>
        </w:rPr>
        <w:t>具</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正常工作达</w:t>
      </w:r>
      <w:r>
        <w:rPr>
          <w:rFonts w:hint="eastAsia" w:ascii="仿宋_GB2312" w:hAnsi="仿宋_GB2312" w:eastAsia="仿宋_GB2312" w:cs="仿宋_GB2312"/>
          <w:b w:val="0"/>
          <w:bCs w:val="0"/>
          <w:color w:val="auto"/>
          <w:sz w:val="32"/>
          <w:szCs w:val="32"/>
          <w:highlight w:val="none"/>
        </w:rPr>
        <w:t>3千小时时，其光通维持率</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rPr>
        <w:t>96%；在</w:t>
      </w:r>
      <w:r>
        <w:rPr>
          <w:rFonts w:hint="eastAsia" w:ascii="仿宋_GB2312" w:hAnsi="仿宋_GB2312" w:eastAsia="仿宋_GB2312" w:cs="仿宋_GB2312"/>
          <w:b w:val="0"/>
          <w:bCs w:val="0"/>
          <w:color w:val="auto"/>
          <w:sz w:val="32"/>
          <w:szCs w:val="32"/>
          <w:highlight w:val="none"/>
          <w:lang w:val="en-US" w:eastAsia="zh-CN"/>
        </w:rPr>
        <w:t>正常工作达</w:t>
      </w:r>
      <w:r>
        <w:rPr>
          <w:rFonts w:hint="eastAsia" w:ascii="仿宋_GB2312" w:hAnsi="仿宋_GB2312" w:eastAsia="仿宋_GB2312" w:cs="仿宋_GB2312"/>
          <w:b w:val="0"/>
          <w:bCs w:val="0"/>
          <w:color w:val="auto"/>
          <w:sz w:val="32"/>
          <w:szCs w:val="32"/>
          <w:highlight w:val="none"/>
        </w:rPr>
        <w:t>6千小时时，其光通维持率</w:t>
      </w:r>
      <w:r>
        <w:rPr>
          <w:rFonts w:hint="eastAsia" w:ascii="仿宋_GB2312" w:hAnsi="仿宋_GB2312" w:eastAsia="仿宋_GB2312" w:cs="仿宋_GB2312"/>
          <w:b w:val="0"/>
          <w:bCs w:val="0"/>
          <w:color w:val="auto"/>
          <w:sz w:val="32"/>
          <w:szCs w:val="32"/>
          <w:highlight w:val="none"/>
          <w:lang w:val="en-US" w:eastAsia="zh-CN"/>
        </w:rPr>
        <w:t>不应低于</w:t>
      </w:r>
      <w:r>
        <w:rPr>
          <w:rFonts w:hint="eastAsia" w:ascii="仿宋_GB2312" w:hAnsi="仿宋_GB2312" w:eastAsia="仿宋_GB2312" w:cs="仿宋_GB2312"/>
          <w:b w:val="0"/>
          <w:bCs w:val="0"/>
          <w:color w:val="auto"/>
          <w:sz w:val="32"/>
          <w:szCs w:val="32"/>
          <w:highlight w:val="none"/>
        </w:rPr>
        <w:t>92%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正常工作达2.5万</w:t>
      </w:r>
      <w:r>
        <w:rPr>
          <w:rFonts w:hint="eastAsia" w:ascii="仿宋_GB2312" w:hAnsi="仿宋_GB2312" w:eastAsia="仿宋_GB2312" w:cs="仿宋_GB2312"/>
          <w:b w:val="0"/>
          <w:bCs w:val="0"/>
          <w:color w:val="auto"/>
          <w:sz w:val="32"/>
          <w:szCs w:val="32"/>
          <w:highlight w:val="none"/>
        </w:rPr>
        <w:t>小时，其光通维持率</w:t>
      </w:r>
      <w:r>
        <w:rPr>
          <w:rFonts w:hint="eastAsia" w:ascii="仿宋_GB2312" w:hAnsi="仿宋_GB2312" w:eastAsia="仿宋_GB2312" w:cs="仿宋_GB2312"/>
          <w:b w:val="0"/>
          <w:bCs w:val="0"/>
          <w:color w:val="auto"/>
          <w:sz w:val="32"/>
          <w:szCs w:val="32"/>
          <w:highlight w:val="none"/>
          <w:lang w:val="en-US" w:eastAsia="zh-CN"/>
        </w:rPr>
        <w:t>不应低于70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lang w:val="en-US" w:eastAsia="zh-CN"/>
        </w:rPr>
        <w:t>（光衰超过70%即视为灯具失效）</w:t>
      </w:r>
      <w:r>
        <w:rPr>
          <w:rFonts w:hint="eastAsia" w:ascii="仿宋_GB2312" w:hAnsi="仿宋_GB2312" w:eastAsia="仿宋_GB2312" w:cs="仿宋_GB2312"/>
          <w:b w:val="0"/>
          <w:bCs w:val="0"/>
          <w:color w:val="auto"/>
          <w:sz w:val="32"/>
          <w:szCs w:val="32"/>
          <w:highlight w:val="none"/>
        </w:rPr>
        <w:t>。</w:t>
      </w:r>
    </w:p>
    <w:p w14:paraId="623DC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highlight w:val="none"/>
        </w:rPr>
        <w:t>灯的初始光通量（灯具入库或到达安装现场的时间点）可由制造商或销售商标称，但其标称值的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实测值</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标称值的105%。</w:t>
      </w:r>
    </w:p>
    <w:p w14:paraId="31FECB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rPr>
        <w:t>所有LED灯具外壳温度满载负荷</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小时候后，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30℃。现场安装后抽检灯具的外壳温度。芯片引脚满载</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小时后，</w:t>
      </w:r>
      <w:r>
        <w:rPr>
          <w:rFonts w:hint="eastAsia" w:ascii="仿宋_GB2312" w:hAnsi="仿宋_GB2312" w:eastAsia="仿宋_GB2312" w:cs="仿宋_GB2312"/>
          <w:b w:val="0"/>
          <w:bCs w:val="0"/>
          <w:color w:val="auto"/>
          <w:sz w:val="32"/>
          <w:szCs w:val="32"/>
          <w:highlight w:val="none"/>
          <w:lang w:val="en-US" w:eastAsia="zh-CN"/>
        </w:rPr>
        <w:t>最高</w:t>
      </w:r>
      <w:r>
        <w:rPr>
          <w:rFonts w:hint="eastAsia" w:ascii="仿宋_GB2312" w:hAnsi="仿宋_GB2312" w:eastAsia="仿宋_GB2312" w:cs="仿宋_GB2312"/>
          <w:b w:val="0"/>
          <w:bCs w:val="0"/>
          <w:color w:val="auto"/>
          <w:sz w:val="32"/>
          <w:szCs w:val="32"/>
          <w:highlight w:val="none"/>
        </w:rPr>
        <w:t>温度升高</w:t>
      </w:r>
      <w:r>
        <w:rPr>
          <w:rFonts w:hint="eastAsia" w:ascii="宋体" w:hAnsi="宋体" w:eastAsia="宋体" w:cs="宋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60℃。</w:t>
      </w:r>
      <w:bookmarkEnd w:id="4"/>
      <w:bookmarkStart w:id="16" w:name="_Toc10067"/>
      <w:bookmarkStart w:id="17" w:name="_Toc11963"/>
    </w:p>
    <w:p w14:paraId="3A547841">
      <w:pPr>
        <w:pStyle w:val="6"/>
        <w:numPr>
          <w:ilvl w:val="0"/>
          <w:numId w:val="0"/>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LED电路板封装不得存在明显瑕疵，从而导致灯具的绝缘、抗腐蚀、短路等问题，电路板不得使用电解电容。</w:t>
      </w:r>
    </w:p>
    <w:p w14:paraId="47D0A1E9">
      <w:pPr>
        <w:pStyle w:val="6"/>
        <w:numPr>
          <w:ilvl w:val="0"/>
          <w:numId w:val="0"/>
        </w:numPr>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lang w:val="en-US" w:eastAsia="zh-CN" w:bidi="ar-SA"/>
        </w:rPr>
        <w:t>(5)</w:t>
      </w:r>
      <w:r>
        <w:rPr>
          <w:rFonts w:hint="eastAsia" w:ascii="仿宋_GB2312" w:hAnsi="仿宋_GB2312" w:eastAsia="仿宋_GB2312" w:cs="仿宋_GB2312"/>
          <w:b w:val="0"/>
          <w:bCs w:val="0"/>
          <w:color w:val="auto"/>
          <w:kern w:val="2"/>
          <w:sz w:val="32"/>
          <w:szCs w:val="32"/>
          <w:highlight w:val="none"/>
          <w:lang w:val="en-US" w:eastAsia="zh-CN" w:bidi="ar-SA"/>
        </w:rPr>
        <w:t>LED灯具在额定电压和额定频率下工作时，其实际消耗的功率与额定功率之差不得大于10%</w:t>
      </w:r>
    </w:p>
    <w:p w14:paraId="5351E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highlight w:val="none"/>
          <w:lang w:val="en-US" w:eastAsia="zh-CN"/>
        </w:rPr>
        <w:t>灯具附属驱动电源（开关电源）技术通则</w:t>
      </w:r>
    </w:p>
    <w:p w14:paraId="75ED3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8" w:name="_Toc30970"/>
      <w:r>
        <w:rPr>
          <w:rFonts w:hint="eastAsia" w:ascii="仿宋_GB2312" w:hAnsi="仿宋_GB2312" w:eastAsia="仿宋_GB2312" w:cs="仿宋_GB2312"/>
          <w:b/>
          <w:bCs/>
          <w:color w:val="auto"/>
          <w:sz w:val="32"/>
          <w:szCs w:val="32"/>
          <w:highlight w:val="none"/>
          <w:lang w:val="en-US" w:eastAsia="zh-CN"/>
        </w:rPr>
        <w:t>1.说明</w:t>
      </w:r>
      <w:bookmarkEnd w:id="18"/>
    </w:p>
    <w:p w14:paraId="2EEF398E">
      <w:pPr>
        <w:pageBreakBefore w:val="0"/>
        <w:kinsoku/>
        <w:wordWrap/>
        <w:overflowPunct/>
        <w:topLinePunct w:val="0"/>
        <w:bidi w:val="0"/>
        <w:spacing w:line="560" w:lineRule="exact"/>
        <w:ind w:firstLine="640" w:firstLineChars="200"/>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灯具必须按照采购单位要求，提供全部驱动电源。</w:t>
      </w:r>
    </w:p>
    <w:p w14:paraId="546216B9">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u w:val="none"/>
        </w:rPr>
        <w:t>所有灯具附属驱动电源的深化设计，相</w:t>
      </w:r>
      <w:r>
        <w:rPr>
          <w:rFonts w:hint="eastAsia" w:ascii="仿宋_GB2312" w:hAnsi="仿宋_GB2312" w:eastAsia="仿宋_GB2312" w:cs="仿宋_GB2312"/>
          <w:color w:val="auto"/>
          <w:sz w:val="32"/>
          <w:szCs w:val="32"/>
          <w:highlight w:val="none"/>
        </w:rPr>
        <w:t>关参数按照下表执行</w:t>
      </w:r>
      <w:r>
        <w:rPr>
          <w:rFonts w:hint="eastAsia" w:ascii="仿宋_GB2312" w:hAnsi="仿宋_GB2312" w:eastAsia="仿宋_GB2312" w:cs="仿宋_GB2312"/>
          <w:color w:val="auto"/>
          <w:sz w:val="32"/>
          <w:szCs w:val="32"/>
          <w:highlight w:val="none"/>
          <w:lang w:eastAsia="zh-CN"/>
        </w:rPr>
        <w:t>：</w:t>
      </w:r>
    </w:p>
    <w:tbl>
      <w:tblPr>
        <w:tblStyle w:val="4"/>
        <w:tblW w:w="823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8"/>
        <w:gridCol w:w="1369"/>
        <w:gridCol w:w="5993"/>
      </w:tblGrid>
      <w:tr w14:paraId="7E39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Header/>
        </w:trPr>
        <w:tc>
          <w:tcPr>
            <w:tcW w:w="868" w:type="dxa"/>
            <w:shd w:val="clear" w:color="auto" w:fill="auto"/>
            <w:vAlign w:val="center"/>
          </w:tcPr>
          <w:p w14:paraId="7E3A10B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序号</w:t>
            </w:r>
          </w:p>
        </w:tc>
        <w:tc>
          <w:tcPr>
            <w:tcW w:w="1369" w:type="dxa"/>
            <w:shd w:val="clear" w:color="auto" w:fill="auto"/>
            <w:vAlign w:val="center"/>
          </w:tcPr>
          <w:p w14:paraId="666AD8BA">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内容</w:t>
            </w:r>
          </w:p>
        </w:tc>
        <w:tc>
          <w:tcPr>
            <w:tcW w:w="5993" w:type="dxa"/>
            <w:shd w:val="clear" w:color="auto" w:fill="auto"/>
            <w:vAlign w:val="center"/>
          </w:tcPr>
          <w:p w14:paraId="42DA613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要求</w:t>
            </w:r>
          </w:p>
        </w:tc>
      </w:tr>
      <w:tr w14:paraId="270E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6D743018">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1</w:t>
            </w:r>
          </w:p>
        </w:tc>
        <w:tc>
          <w:tcPr>
            <w:tcW w:w="1369" w:type="dxa"/>
            <w:shd w:val="clear" w:color="auto" w:fill="auto"/>
            <w:vAlign w:val="center"/>
          </w:tcPr>
          <w:p w14:paraId="126FD715">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深化设计</w:t>
            </w:r>
          </w:p>
        </w:tc>
        <w:tc>
          <w:tcPr>
            <w:tcW w:w="5993" w:type="dxa"/>
            <w:shd w:val="clear" w:color="auto" w:fill="auto"/>
            <w:vAlign w:val="center"/>
          </w:tcPr>
          <w:p w14:paraId="69DA126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中标单位根据现场安装条件优化使用方案，由业主最终确认</w:t>
            </w:r>
            <w:r>
              <w:rPr>
                <w:rFonts w:hint="eastAsia" w:ascii="仿宋_GB2312" w:hAnsi="仿宋_GB2312" w:eastAsia="仿宋_GB2312" w:cs="仿宋_GB2312"/>
                <w:color w:val="auto"/>
                <w:sz w:val="32"/>
                <w:szCs w:val="32"/>
                <w:lang w:eastAsia="zh-CN"/>
              </w:rPr>
              <w:t>。</w:t>
            </w:r>
          </w:p>
        </w:tc>
      </w:tr>
      <w:tr w14:paraId="46B1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1868BC54">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w:t>
            </w:r>
          </w:p>
        </w:tc>
        <w:tc>
          <w:tcPr>
            <w:tcW w:w="1369" w:type="dxa"/>
            <w:shd w:val="clear" w:color="auto" w:fill="auto"/>
            <w:vAlign w:val="center"/>
          </w:tcPr>
          <w:p w14:paraId="16FDFA7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型号</w:t>
            </w:r>
          </w:p>
        </w:tc>
        <w:tc>
          <w:tcPr>
            <w:tcW w:w="5993" w:type="dxa"/>
            <w:shd w:val="clear" w:color="auto" w:fill="auto"/>
            <w:vAlign w:val="center"/>
          </w:tcPr>
          <w:p w14:paraId="4D76B372">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中标单位</w:t>
            </w:r>
            <w:r>
              <w:rPr>
                <w:rFonts w:hint="eastAsia" w:ascii="仿宋_GB2312" w:hAnsi="仿宋_GB2312" w:eastAsia="仿宋_GB2312" w:cs="仿宋_GB2312"/>
                <w:color w:val="auto"/>
                <w:sz w:val="32"/>
                <w:szCs w:val="32"/>
              </w:rPr>
              <w:t>深化，</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确认</w:t>
            </w:r>
            <w:r>
              <w:rPr>
                <w:rFonts w:hint="eastAsia" w:ascii="仿宋_GB2312" w:hAnsi="仿宋_GB2312" w:eastAsia="仿宋_GB2312" w:cs="仿宋_GB2312"/>
                <w:color w:val="auto"/>
                <w:sz w:val="32"/>
                <w:szCs w:val="32"/>
                <w:lang w:eastAsia="zh-CN"/>
              </w:rPr>
              <w:t>。</w:t>
            </w:r>
          </w:p>
        </w:tc>
      </w:tr>
      <w:tr w14:paraId="7460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868" w:type="dxa"/>
            <w:vMerge w:val="restart"/>
            <w:shd w:val="clear" w:color="auto" w:fill="auto"/>
            <w:vAlign w:val="center"/>
          </w:tcPr>
          <w:p w14:paraId="209EF81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3</w:t>
            </w:r>
          </w:p>
        </w:tc>
        <w:tc>
          <w:tcPr>
            <w:tcW w:w="1369" w:type="dxa"/>
            <w:vMerge w:val="restart"/>
            <w:shd w:val="clear" w:color="auto" w:fill="auto"/>
            <w:vAlign w:val="center"/>
          </w:tcPr>
          <w:p w14:paraId="37CD3FF2">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输出属性</w:t>
            </w:r>
          </w:p>
        </w:tc>
        <w:tc>
          <w:tcPr>
            <w:tcW w:w="5993" w:type="dxa"/>
            <w:shd w:val="clear" w:color="auto" w:fill="auto"/>
            <w:vAlign w:val="center"/>
          </w:tcPr>
          <w:p w14:paraId="784F07E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详细参数输入电压标明为220V的灯具为内置驱动电源。</w:t>
            </w:r>
          </w:p>
        </w:tc>
      </w:tr>
      <w:tr w14:paraId="296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vMerge w:val="continue"/>
            <w:shd w:val="clear" w:color="auto" w:fill="auto"/>
            <w:vAlign w:val="center"/>
          </w:tcPr>
          <w:p w14:paraId="2C3AFD2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c>
          <w:tcPr>
            <w:tcW w:w="1369" w:type="dxa"/>
            <w:vMerge w:val="continue"/>
            <w:shd w:val="clear" w:color="auto" w:fill="auto"/>
            <w:vAlign w:val="center"/>
          </w:tcPr>
          <w:p w14:paraId="2A2E837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c>
          <w:tcPr>
            <w:tcW w:w="5993" w:type="dxa"/>
            <w:shd w:val="clear" w:color="auto" w:fill="auto"/>
            <w:vAlign w:val="center"/>
          </w:tcPr>
          <w:p w14:paraId="64046A65">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工作电压为</w:t>
            </w:r>
            <w:r>
              <w:rPr>
                <w:rFonts w:hint="eastAsia" w:ascii="仿宋_GB2312" w:hAnsi="仿宋_GB2312" w:eastAsia="仿宋_GB2312" w:cs="仿宋_GB2312"/>
                <w:color w:val="auto"/>
                <w:sz w:val="32"/>
                <w:szCs w:val="32"/>
                <w:lang w:val="en-US" w:eastAsia="zh-CN"/>
              </w:rPr>
              <w:t>24V</w:t>
            </w:r>
            <w:r>
              <w:rPr>
                <w:rFonts w:hint="eastAsia" w:ascii="仿宋_GB2312" w:hAnsi="仿宋_GB2312" w:eastAsia="仿宋_GB2312" w:cs="仿宋_GB2312"/>
                <w:color w:val="auto"/>
                <w:sz w:val="32"/>
                <w:szCs w:val="32"/>
              </w:rPr>
              <w:t>的灯具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必须采用外置驱动电源。</w:t>
            </w:r>
          </w:p>
        </w:tc>
      </w:tr>
      <w:tr w14:paraId="0720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53F730B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4</w:t>
            </w:r>
          </w:p>
        </w:tc>
        <w:tc>
          <w:tcPr>
            <w:tcW w:w="1369" w:type="dxa"/>
            <w:shd w:val="clear" w:color="auto" w:fill="auto"/>
            <w:vAlign w:val="center"/>
          </w:tcPr>
          <w:p w14:paraId="42806DA7">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功率</w:t>
            </w:r>
          </w:p>
        </w:tc>
        <w:tc>
          <w:tcPr>
            <w:tcW w:w="5993" w:type="dxa"/>
            <w:shd w:val="clear" w:color="auto" w:fill="auto"/>
            <w:vAlign w:val="center"/>
          </w:tcPr>
          <w:p w14:paraId="5F09F14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根据现场合理配置</w:t>
            </w:r>
            <w:r>
              <w:rPr>
                <w:rFonts w:hint="eastAsia" w:ascii="仿宋_GB2312" w:hAnsi="仿宋_GB2312" w:eastAsia="仿宋_GB2312" w:cs="仿宋_GB2312"/>
                <w:color w:val="auto"/>
                <w:sz w:val="32"/>
                <w:szCs w:val="32"/>
                <w:lang w:eastAsia="zh-CN"/>
              </w:rPr>
              <w:t>。</w:t>
            </w:r>
          </w:p>
        </w:tc>
      </w:tr>
      <w:tr w14:paraId="7B1A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532584C8">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5</w:t>
            </w:r>
          </w:p>
        </w:tc>
        <w:tc>
          <w:tcPr>
            <w:tcW w:w="1369" w:type="dxa"/>
            <w:shd w:val="clear" w:color="auto" w:fill="auto"/>
            <w:vAlign w:val="center"/>
          </w:tcPr>
          <w:p w14:paraId="1C6C064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功率因数</w:t>
            </w:r>
          </w:p>
        </w:tc>
        <w:tc>
          <w:tcPr>
            <w:tcW w:w="5993" w:type="dxa"/>
            <w:shd w:val="clear" w:color="auto" w:fill="auto"/>
            <w:vAlign w:val="center"/>
          </w:tcPr>
          <w:p w14:paraId="2B434BF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0.9</w:t>
            </w:r>
          </w:p>
        </w:tc>
      </w:tr>
      <w:tr w14:paraId="1A2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118C413C">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6</w:t>
            </w:r>
          </w:p>
        </w:tc>
        <w:tc>
          <w:tcPr>
            <w:tcW w:w="1369" w:type="dxa"/>
            <w:shd w:val="clear" w:color="auto" w:fill="auto"/>
            <w:vAlign w:val="center"/>
          </w:tcPr>
          <w:p w14:paraId="0C70F204">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3C认证</w:t>
            </w:r>
          </w:p>
        </w:tc>
        <w:tc>
          <w:tcPr>
            <w:tcW w:w="5993" w:type="dxa"/>
            <w:shd w:val="clear" w:color="auto" w:fill="auto"/>
            <w:vAlign w:val="center"/>
          </w:tcPr>
          <w:p w14:paraId="1C29C3E7">
            <w:pPr>
              <w:pageBreakBefore w:val="0"/>
              <w:kinsoku/>
              <w:wordWrap/>
              <w:overflowPunct/>
              <w:topLinePunct w:val="0"/>
              <w:bidi w:val="0"/>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w:t>
            </w:r>
          </w:p>
        </w:tc>
      </w:tr>
      <w:tr w14:paraId="3987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7616EE90">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7</w:t>
            </w:r>
          </w:p>
        </w:tc>
        <w:tc>
          <w:tcPr>
            <w:tcW w:w="1369" w:type="dxa"/>
            <w:shd w:val="clear" w:color="auto" w:fill="auto"/>
            <w:vAlign w:val="center"/>
          </w:tcPr>
          <w:p w14:paraId="7777727C">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效率</w:t>
            </w:r>
          </w:p>
        </w:tc>
        <w:tc>
          <w:tcPr>
            <w:tcW w:w="5993" w:type="dxa"/>
            <w:shd w:val="clear" w:color="auto" w:fill="auto"/>
            <w:vAlign w:val="center"/>
          </w:tcPr>
          <w:p w14:paraId="4D8DA05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90%</w:t>
            </w:r>
          </w:p>
        </w:tc>
      </w:tr>
      <w:tr w14:paraId="71D6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14:paraId="713BDEB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8</w:t>
            </w:r>
          </w:p>
        </w:tc>
        <w:tc>
          <w:tcPr>
            <w:tcW w:w="1369" w:type="dxa"/>
            <w:shd w:val="clear" w:color="auto" w:fill="auto"/>
            <w:vAlign w:val="center"/>
          </w:tcPr>
          <w:p w14:paraId="5F19023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防护等级</w:t>
            </w:r>
          </w:p>
        </w:tc>
        <w:tc>
          <w:tcPr>
            <w:tcW w:w="5993" w:type="dxa"/>
            <w:shd w:val="clear" w:color="auto" w:fill="auto"/>
            <w:vAlign w:val="center"/>
          </w:tcPr>
          <w:p w14:paraId="60A6933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宋体" w:hAnsi="宋体" w:eastAsia="宋体" w:cs="宋体"/>
                <w:color w:val="auto"/>
                <w:sz w:val="32"/>
                <w:szCs w:val="32"/>
                <w:lang w:eastAsia="zh-CN"/>
              </w:rPr>
              <w:t>≥</w:t>
            </w:r>
            <w:r>
              <w:rPr>
                <w:rFonts w:hint="eastAsia" w:ascii="仿宋_GB2312" w:hAnsi="仿宋_GB2312" w:eastAsia="仿宋_GB2312" w:cs="仿宋_GB2312"/>
                <w:color w:val="auto"/>
                <w:sz w:val="32"/>
                <w:szCs w:val="32"/>
              </w:rPr>
              <w:t>IP67</w:t>
            </w:r>
          </w:p>
        </w:tc>
      </w:tr>
      <w:tr w14:paraId="0E3B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14:paraId="3CD618AC">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bookmarkStart w:id="19" w:name="_Toc7509"/>
            <w:r>
              <w:rPr>
                <w:rFonts w:hint="eastAsia" w:ascii="仿宋_GB2312" w:hAnsi="仿宋_GB2312" w:eastAsia="仿宋_GB2312" w:cs="仿宋_GB2312"/>
                <w:color w:val="auto"/>
                <w:sz w:val="32"/>
                <w:szCs w:val="32"/>
              </w:rPr>
              <w:t>9</w:t>
            </w:r>
          </w:p>
        </w:tc>
        <w:tc>
          <w:tcPr>
            <w:tcW w:w="1369" w:type="dxa"/>
            <w:shd w:val="clear" w:color="auto" w:fill="auto"/>
            <w:vAlign w:val="center"/>
          </w:tcPr>
          <w:p w14:paraId="26370EE6">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电磁兼容</w:t>
            </w:r>
          </w:p>
        </w:tc>
        <w:tc>
          <w:tcPr>
            <w:tcW w:w="5993" w:type="dxa"/>
            <w:shd w:val="clear" w:color="auto" w:fill="auto"/>
            <w:vAlign w:val="center"/>
          </w:tcPr>
          <w:p w14:paraId="0C724484">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合格</w:t>
            </w:r>
          </w:p>
        </w:tc>
      </w:tr>
    </w:tbl>
    <w:p w14:paraId="2143C7AE">
      <w:p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2.灯具附属驱动电源技术要求</w:t>
      </w:r>
      <w:bookmarkEnd w:id="19"/>
    </w:p>
    <w:p w14:paraId="51541D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lang w:eastAsia="zh-CN"/>
        </w:rPr>
        <w:t>品牌推荐</w:t>
      </w:r>
      <w:r>
        <w:rPr>
          <w:rFonts w:hint="eastAsia" w:ascii="仿宋_GB2312" w:hAnsi="仿宋_GB2312" w:eastAsia="仿宋_GB2312" w:cs="仿宋_GB2312"/>
          <w:b w:val="0"/>
          <w:bCs w:val="0"/>
          <w:color w:val="auto"/>
          <w:sz w:val="32"/>
          <w:szCs w:val="32"/>
          <w:highlight w:val="none"/>
        </w:rPr>
        <w:t>使用茂硕、英飞特、台湾明纬</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欧司朗（OSRAM）、飞利浦（PHILIPS）</w:t>
      </w:r>
      <w:r>
        <w:rPr>
          <w:rFonts w:hint="eastAsia" w:ascii="仿宋_GB2312" w:hAnsi="仿宋_GB2312" w:eastAsia="仿宋_GB2312" w:cs="仿宋_GB2312"/>
          <w:b w:val="0"/>
          <w:bCs w:val="0"/>
          <w:color w:val="auto"/>
          <w:sz w:val="32"/>
          <w:szCs w:val="32"/>
          <w:highlight w:val="none"/>
          <w:lang w:val="en-US" w:eastAsia="zh-CN"/>
        </w:rPr>
        <w:t>、诚联、创联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排名不分先后）</w:t>
      </w:r>
      <w:r>
        <w:rPr>
          <w:rFonts w:hint="eastAsia" w:ascii="仿宋_GB2312" w:hAnsi="仿宋_GB2312" w:eastAsia="仿宋_GB2312" w:cs="仿宋_GB2312"/>
          <w:b w:val="0"/>
          <w:bCs w:val="0"/>
          <w:color w:val="auto"/>
          <w:sz w:val="32"/>
          <w:szCs w:val="32"/>
          <w:highlight w:val="none"/>
          <w:lang w:eastAsia="zh-CN"/>
        </w:rPr>
        <w:t>。</w:t>
      </w:r>
    </w:p>
    <w:p w14:paraId="4B43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rPr>
        <w:t>详细参数输入电压标明为220V的灯具为内置驱动电源。详细参数输入电压</w:t>
      </w:r>
      <w:r>
        <w:rPr>
          <w:rFonts w:hint="eastAsia" w:ascii="仿宋_GB2312" w:hAnsi="仿宋_GB2312" w:eastAsia="仿宋_GB2312" w:cs="仿宋_GB2312"/>
          <w:b w:val="0"/>
          <w:bCs w:val="0"/>
          <w:color w:val="auto"/>
          <w:sz w:val="32"/>
          <w:szCs w:val="32"/>
          <w:lang w:val="en-US" w:eastAsia="zh-CN"/>
        </w:rPr>
        <w:t>为24V的</w:t>
      </w:r>
      <w:r>
        <w:rPr>
          <w:rFonts w:hint="eastAsia" w:ascii="仿宋_GB2312" w:hAnsi="仿宋_GB2312" w:eastAsia="仿宋_GB2312" w:cs="仿宋_GB2312"/>
          <w:b w:val="0"/>
          <w:bCs w:val="0"/>
          <w:color w:val="auto"/>
          <w:sz w:val="32"/>
          <w:szCs w:val="32"/>
        </w:rPr>
        <w:t>灯具为外置恒压驱动电源集中供电。</w:t>
      </w:r>
    </w:p>
    <w:p w14:paraId="76C6D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(3)</w:t>
      </w:r>
      <w:r>
        <w:rPr>
          <w:rFonts w:hint="eastAsia" w:ascii="仿宋_GB2312" w:hAnsi="仿宋_GB2312" w:eastAsia="仿宋_GB2312" w:cs="仿宋_GB2312"/>
          <w:b w:val="0"/>
          <w:bCs w:val="0"/>
          <w:color w:val="auto"/>
          <w:sz w:val="32"/>
          <w:szCs w:val="32"/>
          <w:highlight w:val="none"/>
        </w:rPr>
        <w:t>电源必须符合国家相关标准。小于70W的灯具必须配置恒压驱动电源。所有LED灯具必须结合现场安装条件配置适当的防水驱动电源（含内置电源）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IP67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根据具体灯具要求配置内置或外置。该电源必须为灯具标配，不得随意更换。</w:t>
      </w:r>
    </w:p>
    <w:p w14:paraId="19CB4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(4)</w:t>
      </w:r>
      <w:r>
        <w:rPr>
          <w:rFonts w:hint="eastAsia" w:ascii="仿宋_GB2312" w:hAnsi="仿宋_GB2312" w:eastAsia="仿宋_GB2312" w:cs="仿宋_GB2312"/>
          <w:b w:val="0"/>
          <w:bCs w:val="0"/>
          <w:color w:val="auto"/>
          <w:sz w:val="32"/>
          <w:szCs w:val="32"/>
          <w:highlight w:val="none"/>
        </w:rPr>
        <w:t>外置驱动电源、内置外露驱动电源应考虑一体式防水和散热。</w:t>
      </w:r>
    </w:p>
    <w:p w14:paraId="1B9B1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(5)</w:t>
      </w:r>
      <w:r>
        <w:rPr>
          <w:rFonts w:hint="eastAsia" w:ascii="仿宋_GB2312" w:hAnsi="仿宋_GB2312" w:eastAsia="仿宋_GB2312" w:cs="仿宋_GB2312"/>
          <w:b w:val="0"/>
          <w:bCs w:val="0"/>
          <w:color w:val="auto"/>
          <w:sz w:val="32"/>
          <w:szCs w:val="32"/>
          <w:highlight w:val="none"/>
        </w:rPr>
        <w:t>单颗芯片功率不小于1W的大功率LED灯具电源要有过载过压短路保护，自动温控保护。</w:t>
      </w:r>
    </w:p>
    <w:p w14:paraId="60FA9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(6)</w:t>
      </w:r>
      <w:r>
        <w:rPr>
          <w:rFonts w:hint="eastAsia" w:ascii="仿宋_GB2312" w:hAnsi="仿宋_GB2312" w:eastAsia="仿宋_GB2312" w:cs="仿宋_GB2312"/>
          <w:b w:val="0"/>
          <w:bCs w:val="0"/>
          <w:color w:val="auto"/>
          <w:sz w:val="32"/>
          <w:szCs w:val="32"/>
          <w:highlight w:val="none"/>
        </w:rPr>
        <w:t>外置</w:t>
      </w:r>
      <w:r>
        <w:rPr>
          <w:rFonts w:hint="eastAsia" w:ascii="仿宋_GB2312" w:hAnsi="仿宋_GB2312" w:eastAsia="仿宋_GB2312" w:cs="仿宋_GB2312"/>
          <w:b w:val="0"/>
          <w:bCs w:val="0"/>
          <w:color w:val="auto"/>
          <w:sz w:val="32"/>
          <w:szCs w:val="32"/>
          <w:highlight w:val="none"/>
          <w:lang w:val="en-US" w:eastAsia="zh-CN"/>
        </w:rPr>
        <w:t>驱动</w:t>
      </w:r>
      <w:r>
        <w:rPr>
          <w:rFonts w:hint="eastAsia" w:ascii="仿宋_GB2312" w:hAnsi="仿宋_GB2312" w:eastAsia="仿宋_GB2312" w:cs="仿宋_GB2312"/>
          <w:b w:val="0"/>
          <w:bCs w:val="0"/>
          <w:color w:val="auto"/>
          <w:sz w:val="32"/>
          <w:szCs w:val="32"/>
          <w:highlight w:val="none"/>
        </w:rPr>
        <w:t>电源集中供电时，所提供的电源必须满足现场实际安装需要，每个电源的功率根据现场条件，由设计及</w:t>
      </w:r>
      <w:r>
        <w:rPr>
          <w:rFonts w:hint="eastAsia" w:ascii="仿宋_GB2312" w:hAnsi="仿宋_GB2312" w:eastAsia="仿宋_GB2312" w:cs="仿宋_GB2312"/>
          <w:b w:val="0"/>
          <w:bCs w:val="0"/>
          <w:color w:val="auto"/>
          <w:sz w:val="32"/>
          <w:szCs w:val="32"/>
          <w:highlight w:val="none"/>
          <w:lang w:val="en-US" w:eastAsia="zh-CN"/>
        </w:rPr>
        <w:t>采购单位</w:t>
      </w:r>
      <w:r>
        <w:rPr>
          <w:rFonts w:hint="eastAsia" w:ascii="仿宋_GB2312" w:hAnsi="仿宋_GB2312" w:eastAsia="仿宋_GB2312" w:cs="仿宋_GB2312"/>
          <w:b w:val="0"/>
          <w:bCs w:val="0"/>
          <w:color w:val="auto"/>
          <w:sz w:val="32"/>
          <w:szCs w:val="32"/>
          <w:highlight w:val="none"/>
        </w:rPr>
        <w:t>确定。</w:t>
      </w:r>
    </w:p>
    <w:p w14:paraId="3F8FA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仿宋_GB2312" w:hAnsi="仿宋_GB2312" w:eastAsia="仿宋_GB2312" w:cs="仿宋_GB2312"/>
          <w:b w:val="0"/>
          <w:bCs w:val="0"/>
          <w:color w:val="auto"/>
          <w:kern w:val="2"/>
          <w:sz w:val="32"/>
          <w:szCs w:val="32"/>
          <w:lang w:val="en-US" w:eastAsia="zh-CN" w:bidi="ar-SA"/>
        </w:rPr>
        <w:t>(7)</w:t>
      </w:r>
      <w:r>
        <w:rPr>
          <w:rFonts w:hint="eastAsia" w:ascii="仿宋_GB2312" w:hAnsi="仿宋_GB2312" w:eastAsia="仿宋_GB2312" w:cs="仿宋_GB2312"/>
          <w:b w:val="0"/>
          <w:bCs w:val="0"/>
          <w:color w:val="auto"/>
          <w:sz w:val="32"/>
          <w:szCs w:val="32"/>
          <w:highlight w:val="none"/>
        </w:rPr>
        <w:t>外置驱动电源：输入交流电压220VAC，输出直流电压24V</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以灯具技术参数为准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；输入输出引出线长不低于0.3米</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防护等级IP67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防雷等级线对线4KV、线对地6KV</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无风扇设计，自然风冷。驱动电源效率不低于90%，有短路、过电流、过电压、过温度保护。功率因素不小于</w:t>
      </w:r>
      <w:r>
        <w:rPr>
          <w:rFonts w:hint="eastAsia" w:ascii="仿宋_GB2312" w:hAnsi="仿宋_GB2312" w:eastAsia="仿宋_GB2312" w:cs="仿宋_GB2312"/>
          <w:b w:val="0"/>
          <w:bCs w:val="0"/>
          <w:color w:val="auto"/>
          <w:sz w:val="32"/>
          <w:szCs w:val="32"/>
          <w:highlight w:val="none"/>
          <w:lang w:val="en-US" w:eastAsia="zh-CN"/>
        </w:rPr>
        <w:t>0.9</w:t>
      </w:r>
      <w:r>
        <w:rPr>
          <w:rFonts w:hint="eastAsia" w:ascii="仿宋_GB2312" w:hAnsi="仿宋_GB2312" w:eastAsia="仿宋_GB2312" w:cs="仿宋_GB2312"/>
          <w:b w:val="0"/>
          <w:bCs w:val="0"/>
          <w:color w:val="auto"/>
          <w:sz w:val="32"/>
          <w:szCs w:val="32"/>
          <w:highlight w:val="none"/>
        </w:rPr>
        <w:t>，安规和电磁兼容符合相关国家、国际标准。</w:t>
      </w:r>
    </w:p>
    <w:p w14:paraId="63BD4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lang w:val="en-US" w:eastAsia="zh-CN" w:bidi="ar-SA"/>
        </w:rPr>
        <w:t>(8)</w:t>
      </w:r>
      <w:r>
        <w:rPr>
          <w:rFonts w:hint="eastAsia" w:ascii="仿宋_GB2312" w:hAnsi="仿宋_GB2312" w:eastAsia="仿宋_GB2312" w:cs="仿宋_GB2312"/>
          <w:b w:val="0"/>
          <w:bCs w:val="0"/>
          <w:color w:val="auto"/>
          <w:sz w:val="32"/>
          <w:szCs w:val="32"/>
          <w:highlight w:val="none"/>
        </w:rPr>
        <w:t>外置驱动电源在电源箱内设置数量3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6个，在干燥、潮湿、淋雨环境下工作温度为-20℃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+60℃，</w:t>
      </w:r>
      <w:r>
        <w:rPr>
          <w:rFonts w:hint="eastAsia" w:ascii="仿宋_GB2312" w:hAnsi="仿宋_GB2312" w:eastAsia="仿宋_GB2312" w:cs="仿宋_GB2312"/>
          <w:b w:val="0"/>
          <w:bCs w:val="0"/>
          <w:color w:val="auto"/>
          <w:sz w:val="32"/>
          <w:szCs w:val="32"/>
          <w:highlight w:val="none"/>
          <w:lang w:val="en-US" w:eastAsia="zh-CN"/>
        </w:rPr>
        <w:t>湿度</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90%，质保期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5年。</w:t>
      </w:r>
    </w:p>
    <w:bookmarkEnd w:id="16"/>
    <w:bookmarkEnd w:id="17"/>
    <w:p w14:paraId="0F695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（四）</w:t>
      </w:r>
      <w:r>
        <w:rPr>
          <w:rFonts w:hint="eastAsia" w:ascii="楷体_GB2312" w:hAnsi="楷体_GB2312" w:eastAsia="楷体_GB2312" w:cs="楷体_GB2312"/>
          <w:b/>
          <w:bCs/>
          <w:color w:val="auto"/>
          <w:sz w:val="32"/>
          <w:szCs w:val="32"/>
          <w:highlight w:val="none"/>
          <w:lang w:val="en-US" w:eastAsia="zh-CN"/>
        </w:rPr>
        <w:t>灯具附属防坠落装置（含防坠落钢丝绳）配置要求</w:t>
      </w:r>
    </w:p>
    <w:p w14:paraId="58C2A0DA">
      <w:pPr>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技术文件详参有规定的，按详参规定执行，没有详参规定的，按照本通则执行。</w:t>
      </w:r>
    </w:p>
    <w:p w14:paraId="16C0F625">
      <w:pPr>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高空（高度大于2米）安装的灯具必须配置与灯具相匹配的防坠落装置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含防坠落钢丝绳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。恶劣天气，强风袭击</w:t>
      </w:r>
      <w:r>
        <w:rPr>
          <w:rFonts w:hint="eastAsia" w:ascii="仿宋_GB2312" w:hAnsi="仿宋_GB2312" w:eastAsia="仿宋_GB2312" w:cs="仿宋_GB2312"/>
          <w:color w:val="auto"/>
          <w:kern w:val="0"/>
          <w:sz w:val="32"/>
          <w:szCs w:val="32"/>
          <w:highlight w:val="none"/>
          <w:lang w:val="en-US" w:eastAsia="zh-CN"/>
        </w:rPr>
        <w:t>或受到外力冲撞</w:t>
      </w:r>
      <w:r>
        <w:rPr>
          <w:rFonts w:hint="eastAsia" w:ascii="仿宋_GB2312" w:hAnsi="仿宋_GB2312" w:eastAsia="仿宋_GB2312" w:cs="仿宋_GB2312"/>
          <w:color w:val="auto"/>
          <w:kern w:val="0"/>
          <w:sz w:val="32"/>
          <w:szCs w:val="32"/>
          <w:highlight w:val="none"/>
        </w:rPr>
        <w:t>时，灯具不会</w:t>
      </w:r>
      <w:r>
        <w:rPr>
          <w:rFonts w:hint="eastAsia" w:ascii="仿宋_GB2312" w:hAnsi="仿宋_GB2312" w:eastAsia="仿宋_GB2312" w:cs="仿宋_GB2312"/>
          <w:color w:val="auto"/>
          <w:kern w:val="0"/>
          <w:sz w:val="32"/>
          <w:szCs w:val="32"/>
          <w:highlight w:val="none"/>
          <w:lang w:val="en-US" w:eastAsia="zh-CN"/>
        </w:rPr>
        <w:t>掉</w:t>
      </w:r>
      <w:r>
        <w:rPr>
          <w:rFonts w:hint="eastAsia" w:ascii="仿宋_GB2312" w:hAnsi="仿宋_GB2312" w:eastAsia="仿宋_GB2312" w:cs="仿宋_GB2312"/>
          <w:color w:val="auto"/>
          <w:kern w:val="0"/>
          <w:sz w:val="32"/>
          <w:szCs w:val="32"/>
          <w:highlight w:val="none"/>
        </w:rPr>
        <w:t>落</w:t>
      </w:r>
      <w:r>
        <w:rPr>
          <w:rFonts w:hint="eastAsia" w:ascii="仿宋_GB2312" w:hAnsi="仿宋_GB2312" w:eastAsia="仿宋_GB2312" w:cs="仿宋_GB2312"/>
          <w:color w:val="auto"/>
          <w:kern w:val="0"/>
          <w:sz w:val="32"/>
          <w:szCs w:val="32"/>
          <w:highlight w:val="none"/>
          <w:lang w:val="en-US" w:eastAsia="zh-CN"/>
        </w:rPr>
        <w:t>到路面产生危险，防止次生灾害</w:t>
      </w:r>
      <w:r>
        <w:rPr>
          <w:rFonts w:hint="eastAsia" w:ascii="仿宋_GB2312" w:hAnsi="仿宋_GB2312" w:eastAsia="仿宋_GB2312" w:cs="仿宋_GB2312"/>
          <w:color w:val="auto"/>
          <w:kern w:val="0"/>
          <w:sz w:val="32"/>
          <w:szCs w:val="32"/>
          <w:highlight w:val="none"/>
        </w:rPr>
        <w:t>。防坠落装置安装于合理位置。</w:t>
      </w:r>
    </w:p>
    <w:p w14:paraId="5B0671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1.钢丝绳材质：304不锈钢。</w:t>
      </w:r>
    </w:p>
    <w:p w14:paraId="16DEA0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2.钢丝绳直径：≥3mm。</w:t>
      </w:r>
    </w:p>
    <w:p w14:paraId="69C0CD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3.钢丝绳拉力：≥400Kg。</w:t>
      </w:r>
    </w:p>
    <w:p w14:paraId="55B72075">
      <w:pPr>
        <w:pStyle w:val="6"/>
        <w:jc w:val="center"/>
        <w:rPr>
          <w:rFonts w:hint="eastAsia" w:ascii="仿宋_GB2312" w:hAnsi="仿宋_GB2312" w:eastAsia="仿宋_GB2312" w:cs="仿宋_GB2312"/>
          <w:b w:val="0"/>
          <w:bCs w:val="0"/>
          <w:color w:val="auto"/>
          <w:sz w:val="32"/>
          <w:szCs w:val="32"/>
          <w:highlight w:val="none"/>
          <w:lang w:val="en-US" w:eastAsia="zh-CN"/>
        </w:rPr>
      </w:pPr>
    </w:p>
    <w:p w14:paraId="62D51F12">
      <w:pPr>
        <w:pStyle w:val="6"/>
        <w:jc w:val="center"/>
        <w:rPr>
          <w:rFonts w:hint="eastAsia" w:ascii="仿宋_GB2312" w:hAnsi="仿宋_GB2312" w:eastAsia="仿宋_GB2312" w:cs="仿宋_GB2312"/>
          <w:b w:val="0"/>
          <w:bCs w:val="0"/>
          <w:color w:val="auto"/>
          <w:sz w:val="32"/>
          <w:szCs w:val="32"/>
          <w:highlight w:val="none"/>
          <w:lang w:val="en-US" w:eastAsia="zh-CN"/>
        </w:rPr>
      </w:pPr>
    </w:p>
    <w:p w14:paraId="17DBBCD7">
      <w:pPr>
        <w:pStyle w:val="6"/>
        <w:jc w:val="cente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4.钢丝绳两端固定方式：固定式（结合灯具安装支架等)。</w:t>
      </w:r>
      <w:bookmarkStart w:id="20" w:name="_Toc13459"/>
      <w:r>
        <w:rPr>
          <w:rFonts w:hint="eastAsia" w:ascii="仿宋_GB2312" w:hAnsi="仿宋_GB2312" w:eastAsia="仿宋_GB2312" w:cs="仿宋_GB2312"/>
          <w:b w:val="0"/>
          <w:bCs w:val="0"/>
          <w:color w:val="auto"/>
          <w:sz w:val="32"/>
          <w:szCs w:val="32"/>
          <w:highlight w:val="none"/>
          <w:lang w:val="en-US" w:eastAsia="zh-CN"/>
        </w:rPr>
        <w:t>（图片仅示意）</w:t>
      </w:r>
    </w:p>
    <w:p w14:paraId="2910A4CD">
      <w:pPr>
        <w:pStyle w:val="6"/>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3092450</wp:posOffset>
            </wp:positionH>
            <wp:positionV relativeFrom="paragraph">
              <wp:posOffset>107950</wp:posOffset>
            </wp:positionV>
            <wp:extent cx="2428240" cy="1366520"/>
            <wp:effectExtent l="0" t="0" r="10160" b="5080"/>
            <wp:wrapSquare wrapText="bothSides"/>
            <wp:docPr id="27" name="图片 27" descr="167506565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75065652566"/>
                    <pic:cNvPicPr>
                      <a:picLocks noChangeAspect="1"/>
                    </pic:cNvPicPr>
                  </pic:nvPicPr>
                  <pic:blipFill>
                    <a:blip r:embed="rId4"/>
                    <a:stretch>
                      <a:fillRect/>
                    </a:stretch>
                  </pic:blipFill>
                  <pic:spPr>
                    <a:xfrm>
                      <a:off x="0" y="0"/>
                      <a:ext cx="2428240" cy="1366520"/>
                    </a:xfrm>
                    <a:prstGeom prst="rect">
                      <a:avLst/>
                    </a:prstGeom>
                  </pic:spPr>
                </pic:pic>
              </a:graphicData>
            </a:graphic>
          </wp:anchor>
        </w:drawing>
      </w: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225425</wp:posOffset>
            </wp:positionH>
            <wp:positionV relativeFrom="paragraph">
              <wp:posOffset>149860</wp:posOffset>
            </wp:positionV>
            <wp:extent cx="2386965" cy="1343660"/>
            <wp:effectExtent l="0" t="0" r="635" b="2540"/>
            <wp:wrapSquare wrapText="bothSides"/>
            <wp:docPr id="28" name="图片 28" descr="33a8677bcba44641b974a666a4ae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3a8677bcba44641b974a666a4aef91"/>
                    <pic:cNvPicPr>
                      <a:picLocks noChangeAspect="1"/>
                    </pic:cNvPicPr>
                  </pic:nvPicPr>
                  <pic:blipFill>
                    <a:blip r:embed="rId5"/>
                    <a:stretch>
                      <a:fillRect/>
                    </a:stretch>
                  </pic:blipFill>
                  <pic:spPr>
                    <a:xfrm>
                      <a:off x="0" y="0"/>
                      <a:ext cx="2386965" cy="1343660"/>
                    </a:xfrm>
                    <a:prstGeom prst="rect">
                      <a:avLst/>
                    </a:prstGeom>
                  </pic:spPr>
                </pic:pic>
              </a:graphicData>
            </a:graphic>
          </wp:anchor>
        </w:drawing>
      </w:r>
    </w:p>
    <w:p w14:paraId="719F920A">
      <w:pPr>
        <w:pStyle w:val="6"/>
        <w:jc w:val="center"/>
        <w:rPr>
          <w:rFonts w:hint="eastAsia" w:ascii="仿宋_GB2312" w:hAnsi="仿宋_GB2312" w:eastAsia="仿宋_GB2312" w:cs="仿宋_GB2312"/>
          <w:b w:val="0"/>
          <w:bCs w:val="0"/>
          <w:color w:val="auto"/>
          <w:sz w:val="32"/>
          <w:szCs w:val="32"/>
          <w:highlight w:val="none"/>
          <w:lang w:val="en-US" w:eastAsia="zh-CN"/>
        </w:rPr>
      </w:pPr>
    </w:p>
    <w:p w14:paraId="6B9E6646">
      <w:pPr>
        <w:pStyle w:val="6"/>
        <w:jc w:val="center"/>
        <w:rPr>
          <w:rFonts w:hint="eastAsia" w:ascii="仿宋_GB2312" w:hAnsi="仿宋_GB2312" w:eastAsia="仿宋_GB2312" w:cs="仿宋_GB2312"/>
          <w:b w:val="0"/>
          <w:bCs w:val="0"/>
          <w:color w:val="auto"/>
          <w:sz w:val="32"/>
          <w:szCs w:val="32"/>
          <w:highlight w:val="none"/>
          <w:lang w:val="en-US" w:eastAsia="zh-CN"/>
        </w:rPr>
      </w:pPr>
    </w:p>
    <w:p w14:paraId="0413276D">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w:t>
      </w:r>
    </w:p>
    <w:p w14:paraId="667B4879">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4BAC6FB2">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15121071">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2D159667">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2B33A359">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6B79100F">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42C8D1AD">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469F2AB5">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76615BB4">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5E886513">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7F3EFD93">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0CF88278">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324500E1">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2CC11CEA">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3296AA10">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0ECD3B87">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p>
    <w:p w14:paraId="599E1E70">
      <w:pPr>
        <w:numPr>
          <w:ilvl w:val="0"/>
          <w:numId w:val="0"/>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五）</w:t>
      </w:r>
      <w:r>
        <w:rPr>
          <w:rFonts w:hint="eastAsia" w:ascii="楷体_GB2312" w:hAnsi="楷体_GB2312" w:eastAsia="楷体_GB2312" w:cs="楷体_GB2312"/>
          <w:b/>
          <w:bCs/>
          <w:color w:val="auto"/>
          <w:sz w:val="32"/>
          <w:szCs w:val="32"/>
          <w:highlight w:val="none"/>
          <w:lang w:val="en-US" w:eastAsia="zh-CN"/>
        </w:rPr>
        <w:t>景观灯具通用检测要求</w:t>
      </w:r>
      <w:bookmarkEnd w:id="20"/>
    </w:p>
    <w:p w14:paraId="1334DA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1" w:name="_Toc30365"/>
      <w:r>
        <w:rPr>
          <w:rFonts w:hint="eastAsia" w:ascii="仿宋_GB2312" w:hAnsi="仿宋_GB2312" w:eastAsia="仿宋_GB2312" w:cs="仿宋_GB2312"/>
          <w:b/>
          <w:bCs/>
          <w:color w:val="auto"/>
          <w:sz w:val="32"/>
          <w:szCs w:val="32"/>
          <w:highlight w:val="none"/>
          <w:lang w:val="en-US" w:eastAsia="zh-CN"/>
        </w:rPr>
        <w:t>1.说明</w:t>
      </w:r>
      <w:bookmarkEnd w:id="21"/>
    </w:p>
    <w:p w14:paraId="0331D4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bookmarkStart w:id="22" w:name="_Toc6588"/>
      <w:r>
        <w:rPr>
          <w:rFonts w:hint="eastAsia" w:ascii="仿宋_GB2312" w:hAnsi="仿宋_GB2312" w:eastAsia="仿宋_GB2312" w:cs="仿宋_GB2312"/>
          <w:b/>
          <w:bCs/>
          <w:color w:val="auto"/>
          <w:sz w:val="32"/>
          <w:szCs w:val="32"/>
          <w:highlight w:val="none"/>
        </w:rPr>
        <w:t>所有检测机构均必须为“国家级权威检测机构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shd w:val="clear" w:color="auto" w:fill="auto"/>
          <w:lang w:val="en-US" w:eastAsia="zh-CN"/>
        </w:rPr>
        <w:t>(国家市场监督管理总局，网址   http://cx.cnca.cn/CertECloud/index/index/page内国家</w:t>
      </w:r>
      <w:r>
        <w:rPr>
          <w:rFonts w:hint="eastAsia" w:ascii="仿宋_GB2312" w:hAnsi="仿宋_GB2312" w:eastAsia="仿宋_GB2312" w:cs="仿宋_GB2312"/>
          <w:b/>
          <w:bCs/>
          <w:color w:val="auto"/>
          <w:sz w:val="32"/>
          <w:szCs w:val="32"/>
          <w:highlight w:val="none"/>
          <w:lang w:eastAsia="zh-CN"/>
        </w:rPr>
        <w:t>质检中心名录内的检测机构)</w:t>
      </w:r>
      <w:r>
        <w:rPr>
          <w:rFonts w:hint="eastAsia" w:ascii="仿宋_GB2312" w:hAnsi="仿宋_GB2312" w:eastAsia="仿宋_GB2312" w:cs="仿宋_GB2312"/>
          <w:b/>
          <w:bCs/>
          <w:color w:val="auto"/>
          <w:sz w:val="32"/>
          <w:szCs w:val="32"/>
          <w:highlight w:val="none"/>
        </w:rPr>
        <w:t>。</w:t>
      </w:r>
    </w:p>
    <w:p w14:paraId="7EDA2905">
      <w:pPr>
        <w:numPr>
          <w:ilvl w:val="0"/>
          <w:numId w:val="0"/>
        </w:num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灯具不同阶段检测项目</w:t>
      </w:r>
      <w:bookmarkEnd w:id="22"/>
    </w:p>
    <w:tbl>
      <w:tblPr>
        <w:tblStyle w:val="4"/>
        <w:tblW w:w="5000" w:type="pct"/>
        <w:jc w:val="center"/>
        <w:tblLayout w:type="autofit"/>
        <w:tblCellMar>
          <w:top w:w="0" w:type="dxa"/>
          <w:left w:w="0" w:type="dxa"/>
          <w:bottom w:w="0" w:type="dxa"/>
          <w:right w:w="0" w:type="dxa"/>
        </w:tblCellMar>
      </w:tblPr>
      <w:tblGrid>
        <w:gridCol w:w="678"/>
        <w:gridCol w:w="4995"/>
        <w:gridCol w:w="1354"/>
        <w:gridCol w:w="1289"/>
      </w:tblGrid>
      <w:tr w14:paraId="11FB04C2">
        <w:tblPrEx>
          <w:tblCellMar>
            <w:top w:w="0" w:type="dxa"/>
            <w:left w:w="0" w:type="dxa"/>
            <w:bottom w:w="0" w:type="dxa"/>
            <w:right w:w="0" w:type="dxa"/>
          </w:tblCellMar>
        </w:tblPrEx>
        <w:trPr>
          <w:trHeight w:val="1669" w:hRule="atLeast"/>
          <w:tblHeader/>
          <w:jc w:val="center"/>
        </w:trPr>
        <w:tc>
          <w:tcPr>
            <w:tcW w:w="408" w:type="pct"/>
            <w:tcBorders>
              <w:top w:val="single" w:color="000000" w:sz="4" w:space="0"/>
              <w:left w:val="single" w:color="000000" w:sz="4" w:space="0"/>
              <w:right w:val="single" w:color="000000" w:sz="4" w:space="0"/>
            </w:tcBorders>
            <w:shd w:val="clear" w:color="auto" w:fill="auto"/>
            <w:tcMar>
              <w:top w:w="4" w:type="dxa"/>
              <w:left w:w="4" w:type="dxa"/>
              <w:bottom w:w="0" w:type="dxa"/>
              <w:right w:w="4" w:type="dxa"/>
            </w:tcMar>
            <w:vAlign w:val="center"/>
          </w:tcPr>
          <w:p w14:paraId="6247AE78">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序号</w:t>
            </w:r>
          </w:p>
        </w:tc>
        <w:tc>
          <w:tcPr>
            <w:tcW w:w="3003"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3589D3AF">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检测项目</w:t>
            </w:r>
          </w:p>
        </w:tc>
        <w:tc>
          <w:tcPr>
            <w:tcW w:w="814"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102F71DF">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质保期间</w:t>
            </w:r>
          </w:p>
          <w:p w14:paraId="10602EFB">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全部灯具</w:t>
            </w:r>
          </w:p>
          <w:p w14:paraId="6FADD662">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抽检项目</w:t>
            </w:r>
          </w:p>
        </w:tc>
        <w:tc>
          <w:tcPr>
            <w:tcW w:w="772" w:type="pct"/>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438360A2">
            <w:pPr>
              <w:pageBreakBefore w:val="0"/>
              <w:kinsoku/>
              <w:wordWrap/>
              <w:overflowPunct/>
              <w:topLinePunct w:val="0"/>
              <w:bidi w:val="0"/>
              <w:spacing w:line="56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投标前指定灯具需检测项目</w:t>
            </w:r>
          </w:p>
        </w:tc>
      </w:tr>
      <w:tr w14:paraId="0E35A6E8">
        <w:tblPrEx>
          <w:tblCellMar>
            <w:top w:w="0" w:type="dxa"/>
            <w:left w:w="0" w:type="dxa"/>
            <w:bottom w:w="0" w:type="dxa"/>
            <w:right w:w="0"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20D74CA5">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安规项目</w:t>
            </w:r>
          </w:p>
        </w:tc>
      </w:tr>
      <w:tr w14:paraId="50ACB7DD">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62153E61">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1</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D7BF66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外部接线和内部接线</w:t>
            </w:r>
          </w:p>
        </w:tc>
        <w:tc>
          <w:tcPr>
            <w:tcW w:w="814" w:type="pct"/>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184CBF2B">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27FF435C">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1625AECB">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3F00BD76">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77AF7BA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防尘、防固体异物和防水：</w:t>
            </w:r>
            <w:r>
              <w:rPr>
                <w:rFonts w:hint="eastAsia" w:ascii="仿宋_GB2312" w:hAnsi="仿宋_GB2312" w:eastAsia="仿宋_GB2312" w:cs="仿宋_GB2312"/>
                <w:color w:val="auto"/>
                <w:kern w:val="0"/>
                <w:sz w:val="32"/>
                <w:szCs w:val="32"/>
                <w:highlight w:val="none"/>
                <w:lang w:eastAsia="zh-CN"/>
              </w:rPr>
              <w:t>≥IP6</w:t>
            </w:r>
            <w:r>
              <w:rPr>
                <w:rFonts w:hint="eastAsia" w:ascii="仿宋_GB2312" w:hAnsi="仿宋_GB2312" w:eastAsia="仿宋_GB2312" w:cs="仿宋_GB2312"/>
                <w:color w:val="auto"/>
                <w:kern w:val="0"/>
                <w:sz w:val="32"/>
                <w:szCs w:val="32"/>
                <w:highlight w:val="none"/>
                <w:lang w:val="en-US" w:eastAsia="zh-CN"/>
              </w:rPr>
              <w:t>5</w:t>
            </w:r>
          </w:p>
        </w:tc>
        <w:tc>
          <w:tcPr>
            <w:tcW w:w="814"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3B5590FE">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76A862E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r>
      <w:tr w14:paraId="3F74DF3D">
        <w:tblPrEx>
          <w:tblCellMar>
            <w:top w:w="0" w:type="dxa"/>
            <w:left w:w="0" w:type="dxa"/>
            <w:bottom w:w="0" w:type="dxa"/>
            <w:right w:w="0" w:type="dxa"/>
          </w:tblCellMar>
        </w:tblPrEx>
        <w:trPr>
          <w:trHeight w:val="468"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4FE10FB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DB369D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潮湿后的绝缘电阻和电气强度</w:t>
            </w:r>
          </w:p>
        </w:tc>
        <w:tc>
          <w:tcPr>
            <w:tcW w:w="814"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5DD15CB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F591933">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p>
        </w:tc>
      </w:tr>
      <w:tr w14:paraId="37EC2B28">
        <w:tblPrEx>
          <w:tblCellMar>
            <w:top w:w="0" w:type="dxa"/>
            <w:left w:w="0" w:type="dxa"/>
            <w:bottom w:w="0" w:type="dxa"/>
            <w:right w:w="0" w:type="dxa"/>
          </w:tblCellMar>
        </w:tblPrEx>
        <w:trPr>
          <w:trHeight w:val="468"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88233D0">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9A7744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接地规定：220V的灯具需检测，24V等安全电压灯具无需检测</w:t>
            </w:r>
            <w:r>
              <w:rPr>
                <w:rFonts w:hint="eastAsia" w:ascii="仿宋_GB2312" w:hAnsi="仿宋_GB2312" w:eastAsia="仿宋_GB2312" w:cs="仿宋_GB2312"/>
                <w:color w:val="auto"/>
                <w:kern w:val="0"/>
                <w:sz w:val="32"/>
                <w:szCs w:val="32"/>
                <w:highlight w:val="none"/>
                <w:lang w:eastAsia="zh-CN"/>
              </w:rPr>
              <w:t>。</w:t>
            </w:r>
          </w:p>
        </w:tc>
        <w:tc>
          <w:tcPr>
            <w:tcW w:w="814"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5DE88BB5">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4FDED10">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p>
        </w:tc>
      </w:tr>
      <w:tr w14:paraId="6D888515">
        <w:tblPrEx>
          <w:tblCellMar>
            <w:top w:w="0" w:type="dxa"/>
            <w:left w:w="0" w:type="dxa"/>
            <w:bottom w:w="0" w:type="dxa"/>
            <w:right w:w="0" w:type="dxa"/>
          </w:tblCellMar>
        </w:tblPrEx>
        <w:trPr>
          <w:trHeight w:val="468" w:hRule="atLeast"/>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525D965F">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二、光学项目</w:t>
            </w:r>
          </w:p>
        </w:tc>
      </w:tr>
      <w:tr w14:paraId="52BE3610">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52FDB5E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A88311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色度参数：相关色温、色容差、显色指数</w:t>
            </w:r>
          </w:p>
        </w:tc>
        <w:tc>
          <w:tcPr>
            <w:tcW w:w="814"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5D0DD5D">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641D676A">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76D6B03D">
        <w:tblPrEx>
          <w:tblCellMar>
            <w:top w:w="0" w:type="dxa"/>
            <w:left w:w="0" w:type="dxa"/>
            <w:bottom w:w="0" w:type="dxa"/>
            <w:right w:w="0" w:type="dxa"/>
          </w:tblCellMar>
        </w:tblPrEx>
        <w:trPr>
          <w:trHeight w:val="90"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4C032B1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07E4D9C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rPr>
              <w:t>电参数： 电压、电流、功率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功率因数（如果为交流供电）</w:t>
            </w:r>
            <w:r>
              <w:rPr>
                <w:rFonts w:hint="eastAsia" w:ascii="仿宋_GB2312" w:hAnsi="仿宋_GB2312" w:eastAsia="仿宋_GB2312" w:cs="仿宋_GB2312"/>
                <w:color w:val="auto"/>
                <w:sz w:val="32"/>
                <w:szCs w:val="32"/>
                <w:lang w:eastAsia="zh-CN"/>
              </w:rPr>
              <w:t>。</w:t>
            </w:r>
          </w:p>
        </w:tc>
        <w:tc>
          <w:tcPr>
            <w:tcW w:w="814"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215EF98F">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175FC5E9">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r w14:paraId="4E366A8F">
        <w:tblPrEx>
          <w:tblCellMar>
            <w:top w:w="0" w:type="dxa"/>
            <w:left w:w="0" w:type="dxa"/>
            <w:bottom w:w="0" w:type="dxa"/>
            <w:right w:w="0" w:type="dxa"/>
          </w:tblCellMar>
        </w:tblPrEx>
        <w:trPr>
          <w:trHeight w:val="494"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171C685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w:t>
            </w:r>
          </w:p>
        </w:tc>
        <w:tc>
          <w:tcPr>
            <w:tcW w:w="3003" w:type="pct"/>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3F1CF93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rPr>
              <w:t>光度参数：</w:t>
            </w:r>
            <w:r>
              <w:rPr>
                <w:rFonts w:hint="eastAsia" w:ascii="仿宋_GB2312" w:hAnsi="仿宋_GB2312" w:eastAsia="仿宋_GB2312" w:cs="仿宋_GB2312"/>
                <w:color w:val="auto"/>
                <w:kern w:val="0"/>
                <w:sz w:val="32"/>
                <w:szCs w:val="32"/>
              </w:rPr>
              <w:t>半峰发散角、光通量、整灯光效</w:t>
            </w:r>
          </w:p>
        </w:tc>
        <w:tc>
          <w:tcPr>
            <w:tcW w:w="814"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45E7BD31">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772" w:type="pct"/>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14:paraId="3AF38CFA">
            <w:pPr>
              <w:pageBreakBefore w:val="0"/>
              <w:kinsoku/>
              <w:wordWrap/>
              <w:overflowPunct/>
              <w:topLinePunct w:val="0"/>
              <w:bidi w:val="0"/>
              <w:spacing w:line="560" w:lineRule="exact"/>
              <w:jc w:val="center"/>
              <w:rPr>
                <w:rFonts w:hint="eastAsia" w:ascii="仿宋_GB2312" w:hAnsi="仿宋_GB2312" w:eastAsia="仿宋_GB2312" w:cs="仿宋_GB2312"/>
                <w:color w:val="auto"/>
                <w:kern w:val="2"/>
                <w:sz w:val="32"/>
                <w:szCs w:val="32"/>
                <w:highlight w:val="none"/>
                <w:lang w:val="en-US" w:eastAsia="zh-CN" w:bidi="ar-SA"/>
              </w:rPr>
            </w:pPr>
          </w:p>
        </w:tc>
      </w:tr>
    </w:tbl>
    <w:p w14:paraId="06264A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23" w:name="_Toc23670"/>
      <w:r>
        <w:rPr>
          <w:rFonts w:hint="eastAsia" w:ascii="仿宋_GB2312" w:hAnsi="仿宋_GB2312" w:eastAsia="仿宋_GB2312" w:cs="仿宋_GB2312"/>
          <w:b/>
          <w:bCs/>
          <w:color w:val="auto"/>
          <w:sz w:val="32"/>
          <w:szCs w:val="32"/>
          <w:lang w:val="en-US" w:eastAsia="zh-CN"/>
        </w:rPr>
        <w:t>3.质保期期间灯具其他抽检项目</w:t>
      </w:r>
    </w:p>
    <w:tbl>
      <w:tblPr>
        <w:tblStyle w:val="4"/>
        <w:tblW w:w="8298" w:type="dxa"/>
        <w:jc w:val="center"/>
        <w:tblLayout w:type="fixed"/>
        <w:tblCellMar>
          <w:top w:w="15" w:type="dxa"/>
          <w:left w:w="15" w:type="dxa"/>
          <w:bottom w:w="15" w:type="dxa"/>
          <w:right w:w="15" w:type="dxa"/>
        </w:tblCellMar>
      </w:tblPr>
      <w:tblGrid>
        <w:gridCol w:w="488"/>
        <w:gridCol w:w="1861"/>
        <w:gridCol w:w="5949"/>
      </w:tblGrid>
      <w:tr w14:paraId="3EC4AC45">
        <w:tblPrEx>
          <w:tblCellMar>
            <w:top w:w="15" w:type="dxa"/>
            <w:left w:w="15" w:type="dxa"/>
            <w:bottom w:w="15" w:type="dxa"/>
            <w:right w:w="15" w:type="dxa"/>
          </w:tblCellMar>
        </w:tblPrEx>
        <w:trPr>
          <w:trHeight w:val="681"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DDA2">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9C1D">
            <w:pPr>
              <w:pageBreakBefore w:val="0"/>
              <w:kinsoku/>
              <w:wordWrap/>
              <w:overflowPunct/>
              <w:topLinePunct w:val="0"/>
              <w:bidi w:val="0"/>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检测对象</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15A">
            <w:pPr>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检测项目</w:t>
            </w:r>
          </w:p>
        </w:tc>
      </w:tr>
      <w:tr w14:paraId="3BA4BA01">
        <w:tblPrEx>
          <w:tblCellMar>
            <w:top w:w="15" w:type="dxa"/>
            <w:left w:w="15" w:type="dxa"/>
            <w:bottom w:w="15" w:type="dxa"/>
            <w:right w:w="15" w:type="dxa"/>
          </w:tblCellMar>
        </w:tblPrEx>
        <w:trPr>
          <w:trHeight w:val="539" w:hRule="atLeast"/>
          <w:jc w:val="center"/>
        </w:trPr>
        <w:tc>
          <w:tcPr>
            <w:tcW w:w="488" w:type="dxa"/>
            <w:vMerge w:val="restart"/>
            <w:tcBorders>
              <w:top w:val="single" w:color="000000" w:sz="4" w:space="0"/>
              <w:left w:val="single" w:color="000000" w:sz="4" w:space="0"/>
              <w:right w:val="single" w:color="000000" w:sz="4" w:space="0"/>
            </w:tcBorders>
            <w:shd w:val="clear" w:color="auto" w:fill="auto"/>
            <w:vAlign w:val="center"/>
          </w:tcPr>
          <w:p w14:paraId="5F9DCF7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5BDEE3E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外壳、外露安装支架、螺丝螺帽等附件</w:t>
            </w: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AAEB3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必须采用高压铸铝合金、拉伸铝合金、以及304不锈钢等材质</w:t>
            </w:r>
            <w:r>
              <w:rPr>
                <w:rFonts w:hint="eastAsia" w:ascii="仿宋_GB2312" w:hAnsi="仿宋_GB2312" w:eastAsia="仿宋_GB2312" w:cs="仿宋_GB2312"/>
                <w:color w:val="auto"/>
                <w:kern w:val="0"/>
                <w:sz w:val="32"/>
                <w:szCs w:val="32"/>
                <w:lang w:eastAsia="zh-CN"/>
              </w:rPr>
              <w:t>。</w:t>
            </w:r>
          </w:p>
        </w:tc>
      </w:tr>
      <w:tr w14:paraId="549752B2">
        <w:tblPrEx>
          <w:tblCellMar>
            <w:top w:w="15" w:type="dxa"/>
            <w:left w:w="15" w:type="dxa"/>
            <w:bottom w:w="15" w:type="dxa"/>
            <w:right w:w="15" w:type="dxa"/>
          </w:tblCellMar>
        </w:tblPrEx>
        <w:trPr>
          <w:trHeight w:val="616"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30F9E06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4CF716C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kern w:val="0"/>
                <w:sz w:val="32"/>
                <w:szCs w:val="32"/>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98A29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高处安装的灯具，必须配备防坠落装置</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含防坠落钢丝绳</w:t>
            </w:r>
            <w:r>
              <w:rPr>
                <w:rFonts w:hint="eastAsia" w:ascii="仿宋_GB2312" w:hAnsi="仿宋_GB2312" w:eastAsia="仿宋_GB2312" w:cs="仿宋_GB2312"/>
                <w:b w:val="0"/>
                <w:bCs w:val="0"/>
                <w:color w:val="auto"/>
                <w:kern w:val="0"/>
                <w:sz w:val="32"/>
                <w:szCs w:val="32"/>
                <w:lang w:eastAsia="zh-CN"/>
              </w:rPr>
              <w:t>）。</w:t>
            </w:r>
          </w:p>
        </w:tc>
      </w:tr>
      <w:tr w14:paraId="73965BD2">
        <w:tblPrEx>
          <w:tblCellMar>
            <w:top w:w="15" w:type="dxa"/>
            <w:left w:w="15" w:type="dxa"/>
            <w:bottom w:w="15" w:type="dxa"/>
            <w:right w:w="15" w:type="dxa"/>
          </w:tblCellMar>
        </w:tblPrEx>
        <w:trPr>
          <w:trHeight w:val="536"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BAE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9B1C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防水接头、引出线</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A7C3">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大功率灯具（</w:t>
            </w:r>
            <w:r>
              <w:rPr>
                <w:rFonts w:hint="eastAsia" w:ascii="微软雅黑" w:hAnsi="微软雅黑" w:eastAsia="微软雅黑" w:cs="微软雅黑"/>
                <w:color w:val="auto"/>
                <w:kern w:val="0"/>
                <w:sz w:val="32"/>
                <w:szCs w:val="32"/>
              </w:rPr>
              <w:t>&gt;</w:t>
            </w:r>
            <w:r>
              <w:rPr>
                <w:rFonts w:hint="eastAsia" w:ascii="仿宋_GB2312" w:hAnsi="仿宋_GB2312" w:eastAsia="仿宋_GB2312" w:cs="仿宋_GB2312"/>
                <w:color w:val="auto"/>
                <w:kern w:val="0"/>
                <w:sz w:val="32"/>
                <w:szCs w:val="32"/>
              </w:rPr>
              <w:t>30W）必须有防水接头，材质为不锈钢或铜</w:t>
            </w:r>
            <w:r>
              <w:rPr>
                <w:rFonts w:hint="eastAsia" w:ascii="仿宋_GB2312" w:hAnsi="仿宋_GB2312" w:eastAsia="仿宋_GB2312" w:cs="仿宋_GB2312"/>
                <w:color w:val="auto"/>
                <w:kern w:val="0"/>
                <w:sz w:val="32"/>
                <w:szCs w:val="32"/>
                <w:lang w:eastAsia="zh-CN"/>
              </w:rPr>
              <w:t>。</w:t>
            </w:r>
          </w:p>
        </w:tc>
      </w:tr>
      <w:tr w14:paraId="36E0B924">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370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4971">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BE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大功率灯具（</w:t>
            </w:r>
            <w:r>
              <w:rPr>
                <w:rFonts w:hint="eastAsia" w:ascii="微软雅黑" w:hAnsi="微软雅黑" w:eastAsia="微软雅黑" w:cs="微软雅黑"/>
                <w:color w:val="auto"/>
                <w:kern w:val="0"/>
                <w:sz w:val="32"/>
                <w:szCs w:val="32"/>
              </w:rPr>
              <w:t>&gt;</w:t>
            </w:r>
            <w:r>
              <w:rPr>
                <w:rFonts w:hint="eastAsia" w:ascii="仿宋_GB2312" w:hAnsi="仿宋_GB2312" w:eastAsia="仿宋_GB2312" w:cs="仿宋_GB2312"/>
                <w:color w:val="auto"/>
                <w:kern w:val="0"/>
                <w:sz w:val="32"/>
                <w:szCs w:val="32"/>
              </w:rPr>
              <w:t>30W）引出线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芯线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线径必须</w:t>
            </w:r>
            <w:r>
              <w:rPr>
                <w:rFonts w:hint="eastAsia" w:ascii="宋体" w:hAnsi="宋体" w:eastAsia="宋体" w:cs="宋体"/>
                <w:color w:val="auto"/>
                <w:kern w:val="0"/>
                <w:sz w:val="32"/>
                <w:szCs w:val="32"/>
                <w:lang w:eastAsia="zh-CN"/>
              </w:rPr>
              <w:t>≥</w:t>
            </w:r>
            <w:r>
              <w:rPr>
                <w:rFonts w:hint="eastAsia" w:ascii="仿宋_GB2312" w:hAnsi="仿宋_GB2312" w:eastAsia="仿宋_GB2312" w:cs="仿宋_GB2312"/>
                <w:color w:val="auto"/>
                <w:kern w:val="0"/>
                <w:sz w:val="32"/>
                <w:szCs w:val="32"/>
              </w:rPr>
              <w:t>1.5mm²</w:t>
            </w:r>
            <w:r>
              <w:rPr>
                <w:rFonts w:hint="eastAsia" w:ascii="仿宋_GB2312" w:hAnsi="仿宋_GB2312" w:eastAsia="仿宋_GB2312" w:cs="仿宋_GB2312"/>
                <w:color w:val="auto"/>
                <w:kern w:val="0"/>
                <w:sz w:val="32"/>
                <w:szCs w:val="32"/>
                <w:lang w:eastAsia="zh-CN"/>
              </w:rPr>
              <w:t>。</w:t>
            </w:r>
          </w:p>
        </w:tc>
      </w:tr>
      <w:tr w14:paraId="4F9BF7DC">
        <w:tblPrEx>
          <w:tblCellMar>
            <w:top w:w="15" w:type="dxa"/>
            <w:left w:w="15" w:type="dxa"/>
            <w:bottom w:w="15" w:type="dxa"/>
            <w:right w:w="15" w:type="dxa"/>
          </w:tblCellMar>
        </w:tblPrEx>
        <w:trPr>
          <w:trHeight w:val="445"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EED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43C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电气安全</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BFD6">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外部接线和内部接线</w:t>
            </w:r>
            <w:r>
              <w:rPr>
                <w:rFonts w:hint="eastAsia" w:ascii="仿宋_GB2312" w:hAnsi="仿宋_GB2312" w:eastAsia="仿宋_GB2312" w:cs="仿宋_GB2312"/>
                <w:color w:val="auto"/>
                <w:kern w:val="0"/>
                <w:sz w:val="32"/>
                <w:szCs w:val="32"/>
                <w:lang w:eastAsia="zh-CN"/>
              </w:rPr>
              <w:t>。</w:t>
            </w:r>
          </w:p>
        </w:tc>
      </w:tr>
      <w:tr w14:paraId="2CB6EB40">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668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185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A8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接地规定：220V的灯具需检测，24V</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安全电压灯具无需检测</w:t>
            </w:r>
            <w:r>
              <w:rPr>
                <w:rFonts w:hint="eastAsia" w:ascii="仿宋_GB2312" w:hAnsi="仿宋_GB2312" w:eastAsia="仿宋_GB2312" w:cs="仿宋_GB2312"/>
                <w:color w:val="auto"/>
                <w:kern w:val="0"/>
                <w:sz w:val="32"/>
                <w:szCs w:val="32"/>
                <w:lang w:eastAsia="zh-CN"/>
              </w:rPr>
              <w:t>。</w:t>
            </w:r>
          </w:p>
        </w:tc>
      </w:tr>
      <w:tr w14:paraId="233D0A39">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05A7">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C02C">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964E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潮湿后的绝缘电阻和电气强度</w:t>
            </w:r>
            <w:r>
              <w:rPr>
                <w:rFonts w:hint="eastAsia" w:ascii="仿宋_GB2312" w:hAnsi="仿宋_GB2312" w:eastAsia="仿宋_GB2312" w:cs="仿宋_GB2312"/>
                <w:color w:val="auto"/>
                <w:kern w:val="0"/>
                <w:sz w:val="32"/>
                <w:szCs w:val="32"/>
                <w:lang w:eastAsia="zh-CN"/>
              </w:rPr>
              <w:t>。</w:t>
            </w:r>
          </w:p>
        </w:tc>
      </w:tr>
      <w:tr w14:paraId="78FA8362">
        <w:tblPrEx>
          <w:tblCellMar>
            <w:top w:w="15" w:type="dxa"/>
            <w:left w:w="15" w:type="dxa"/>
            <w:bottom w:w="15" w:type="dxa"/>
            <w:right w:w="15" w:type="dxa"/>
          </w:tblCellMar>
        </w:tblPrEx>
        <w:trPr>
          <w:trHeight w:val="357"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5DAD7A17">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2BFC214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64464E3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其他：防雷击、防静电能力、电磁干扰、灯具外壳温升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芯片引脚温升</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w:t>
            </w:r>
          </w:p>
        </w:tc>
      </w:tr>
      <w:tr w14:paraId="5BC19580">
        <w:tblPrEx>
          <w:tblCellMar>
            <w:top w:w="15" w:type="dxa"/>
            <w:left w:w="15" w:type="dxa"/>
            <w:bottom w:w="15" w:type="dxa"/>
            <w:right w:w="15" w:type="dxa"/>
          </w:tblCellMar>
        </w:tblPrEx>
        <w:trPr>
          <w:trHeight w:val="362" w:hRule="atLeast"/>
          <w:jc w:val="center"/>
        </w:trPr>
        <w:tc>
          <w:tcPr>
            <w:tcW w:w="488" w:type="dxa"/>
            <w:tcBorders>
              <w:top w:val="single" w:color="000000" w:sz="4" w:space="0"/>
              <w:left w:val="single" w:color="000000" w:sz="4" w:space="0"/>
              <w:right w:val="single" w:color="000000" w:sz="4" w:space="0"/>
            </w:tcBorders>
            <w:shd w:val="clear" w:color="auto" w:fill="auto"/>
            <w:vAlign w:val="center"/>
          </w:tcPr>
          <w:p w14:paraId="61A479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1861" w:type="dxa"/>
            <w:tcBorders>
              <w:top w:val="single" w:color="000000" w:sz="4" w:space="0"/>
              <w:left w:val="single" w:color="000000" w:sz="4" w:space="0"/>
              <w:right w:val="single" w:color="000000" w:sz="4" w:space="0"/>
            </w:tcBorders>
            <w:shd w:val="clear" w:color="auto" w:fill="auto"/>
            <w:vAlign w:val="center"/>
          </w:tcPr>
          <w:p w14:paraId="188102B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防护等级</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67AE">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rPr>
              <w:t>一般灯具防护等级</w:t>
            </w:r>
            <w:r>
              <w:rPr>
                <w:rFonts w:hint="eastAsia" w:ascii="宋体" w:hAnsi="宋体" w:eastAsia="宋体" w:cs="宋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IP6</w:t>
            </w:r>
            <w:r>
              <w:rPr>
                <w:rFonts w:hint="eastAsia" w:ascii="仿宋_GB2312" w:hAnsi="仿宋_GB2312" w:eastAsia="仿宋_GB2312" w:cs="仿宋_GB2312"/>
                <w:color w:val="auto"/>
                <w:kern w:val="0"/>
                <w:sz w:val="32"/>
                <w:szCs w:val="32"/>
                <w:highlight w:val="none"/>
                <w:lang w:val="en-US" w:eastAsia="zh-CN"/>
              </w:rPr>
              <w:t>5。</w:t>
            </w:r>
          </w:p>
        </w:tc>
      </w:tr>
      <w:tr w14:paraId="5E134195">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A572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006FA17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灯具寿命及光衰</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81B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颗粒寿命</w:t>
            </w:r>
            <w:r>
              <w:rPr>
                <w:rFonts w:hint="eastAsia" w:ascii="宋体" w:hAnsi="宋体" w:eastAsia="宋体" w:cs="宋体"/>
                <w:color w:val="auto"/>
                <w:kern w:val="0"/>
                <w:sz w:val="32"/>
                <w:szCs w:val="32"/>
                <w:lang w:eastAsia="zh-CN"/>
              </w:rPr>
              <w:t>≥</w:t>
            </w:r>
            <w:r>
              <w:rPr>
                <w:rFonts w:hint="eastAsia" w:ascii="仿宋_GB2312" w:hAnsi="仿宋_GB2312" w:eastAsia="仿宋_GB2312" w:cs="仿宋_GB2312"/>
                <w:color w:val="auto"/>
                <w:kern w:val="0"/>
                <w:sz w:val="32"/>
                <w:szCs w:val="32"/>
              </w:rPr>
              <w:t>5万小时</w:t>
            </w:r>
            <w:r>
              <w:rPr>
                <w:rFonts w:hint="eastAsia" w:ascii="仿宋_GB2312" w:hAnsi="仿宋_GB2312" w:eastAsia="仿宋_GB2312" w:cs="仿宋_GB2312"/>
                <w:color w:val="auto"/>
                <w:kern w:val="0"/>
                <w:sz w:val="32"/>
                <w:szCs w:val="32"/>
                <w:lang w:eastAsia="zh-CN"/>
              </w:rPr>
              <w:t>。</w:t>
            </w:r>
          </w:p>
        </w:tc>
      </w:tr>
      <w:tr w14:paraId="5FCB4F17">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2B11">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4D907C86">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E72">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灯具光衰符合国标要求</w:t>
            </w:r>
            <w:r>
              <w:rPr>
                <w:rFonts w:hint="eastAsia" w:ascii="仿宋_GB2312" w:hAnsi="仿宋_GB2312" w:eastAsia="仿宋_GB2312" w:cs="仿宋_GB2312"/>
                <w:color w:val="auto"/>
                <w:kern w:val="0"/>
                <w:sz w:val="32"/>
                <w:szCs w:val="32"/>
                <w:lang w:eastAsia="zh-CN"/>
              </w:rPr>
              <w:t>。</w:t>
            </w:r>
          </w:p>
        </w:tc>
      </w:tr>
      <w:tr w14:paraId="42E646E4">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9018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18B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驱动电源</w:t>
            </w:r>
          </w:p>
        </w:tc>
        <w:tc>
          <w:tcPr>
            <w:tcW w:w="5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F66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品牌推荐</w:t>
            </w:r>
            <w:r>
              <w:rPr>
                <w:rFonts w:hint="eastAsia" w:ascii="仿宋_GB2312" w:hAnsi="仿宋_GB2312" w:eastAsia="仿宋_GB2312" w:cs="仿宋_GB2312"/>
                <w:color w:val="auto"/>
                <w:kern w:val="0"/>
                <w:sz w:val="32"/>
                <w:szCs w:val="32"/>
              </w:rPr>
              <w:t>使用茂硕、英飞特、</w:t>
            </w:r>
            <w:r>
              <w:rPr>
                <w:rFonts w:hint="eastAsia" w:ascii="仿宋_GB2312" w:hAnsi="仿宋_GB2312" w:eastAsia="仿宋_GB2312" w:cs="仿宋_GB2312"/>
                <w:color w:val="auto"/>
                <w:kern w:val="0"/>
                <w:sz w:val="32"/>
                <w:szCs w:val="32"/>
                <w:lang w:eastAsia="zh-CN"/>
              </w:rPr>
              <w:t>台湾明纬</w:t>
            </w:r>
            <w:r>
              <w:rPr>
                <w:rFonts w:hint="eastAsia" w:ascii="仿宋_GB2312" w:hAnsi="仿宋_GB2312" w:eastAsia="仿宋_GB2312" w:cs="仿宋_GB2312"/>
                <w:color w:val="auto"/>
                <w:kern w:val="0"/>
                <w:sz w:val="32"/>
                <w:szCs w:val="32"/>
              </w:rPr>
              <w:t>、欧司朗（OSRAM）、飞利浦（PHILIPS）</w:t>
            </w:r>
            <w:r>
              <w:rPr>
                <w:rFonts w:hint="eastAsia" w:ascii="仿宋_GB2312" w:hAnsi="仿宋_GB2312" w:eastAsia="仿宋_GB2312" w:cs="仿宋_GB2312"/>
                <w:color w:val="auto"/>
                <w:kern w:val="0"/>
                <w:sz w:val="32"/>
                <w:szCs w:val="32"/>
                <w:lang w:val="en-US" w:eastAsia="zh-CN"/>
              </w:rPr>
              <w:t>诚联、创联（排名不分先后)。</w:t>
            </w:r>
          </w:p>
        </w:tc>
      </w:tr>
      <w:tr w14:paraId="61E6C178">
        <w:tblPrEx>
          <w:tblCellMar>
            <w:top w:w="15" w:type="dxa"/>
            <w:left w:w="15" w:type="dxa"/>
            <w:bottom w:w="15" w:type="dxa"/>
            <w:right w:w="15" w:type="dxa"/>
          </w:tblCellMar>
        </w:tblPrEx>
        <w:trPr>
          <w:trHeight w:val="352"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3DD4">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9D05">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auto"/>
                <w:sz w:val="32"/>
                <w:szCs w:val="32"/>
              </w:rPr>
            </w:pPr>
          </w:p>
        </w:tc>
        <w:tc>
          <w:tcPr>
            <w:tcW w:w="59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6B27029">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color w:val="auto"/>
                <w:sz w:val="32"/>
                <w:szCs w:val="32"/>
              </w:rPr>
            </w:pPr>
          </w:p>
        </w:tc>
      </w:tr>
      <w:tr w14:paraId="503FDF30">
        <w:tblPrEx>
          <w:tblCellMar>
            <w:top w:w="15" w:type="dxa"/>
            <w:left w:w="15" w:type="dxa"/>
            <w:bottom w:w="15" w:type="dxa"/>
            <w:right w:w="15" w:type="dxa"/>
          </w:tblCellMar>
        </w:tblPrEx>
        <w:trPr>
          <w:trHeight w:val="485"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0D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07C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配光</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B11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光强、光通量、出光角度、色漂移、色容差、色一致性</w:t>
            </w:r>
            <w:r>
              <w:rPr>
                <w:rFonts w:hint="eastAsia" w:ascii="仿宋_GB2312" w:hAnsi="仿宋_GB2312" w:eastAsia="仿宋_GB2312" w:cs="仿宋_GB2312"/>
                <w:color w:val="auto"/>
                <w:kern w:val="0"/>
                <w:sz w:val="32"/>
                <w:szCs w:val="32"/>
                <w:lang w:eastAsia="zh-CN"/>
              </w:rPr>
              <w:t>。</w:t>
            </w:r>
          </w:p>
        </w:tc>
      </w:tr>
    </w:tbl>
    <w:p w14:paraId="472AD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楷体_GB2312" w:hAnsi="楷体_GB2312" w:eastAsia="楷体_GB2312" w:cs="楷体_GB2312"/>
          <w:b/>
          <w:bCs/>
          <w:color w:val="auto"/>
          <w:sz w:val="32"/>
          <w:szCs w:val="32"/>
          <w:highlight w:val="none"/>
          <w:lang w:val="en-US" w:eastAsia="zh-CN"/>
        </w:rPr>
      </w:pPr>
    </w:p>
    <w:p w14:paraId="44B1FF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楷体_GB2312" w:hAnsi="楷体_GB2312" w:eastAsia="楷体_GB2312" w:cs="楷体_GB2312"/>
          <w:b/>
          <w:bCs/>
          <w:color w:val="auto"/>
          <w:sz w:val="32"/>
          <w:szCs w:val="32"/>
          <w:highlight w:val="none"/>
          <w:lang w:val="en-US" w:eastAsia="zh-CN"/>
        </w:rPr>
      </w:pPr>
    </w:p>
    <w:bookmarkEnd w:id="23"/>
    <w:p w14:paraId="1C902AD7">
      <w:pPr>
        <w:numPr>
          <w:ilvl w:val="0"/>
          <w:numId w:val="0"/>
        </w:numPr>
        <w:ind w:left="0" w:leftChars="0" w:firstLine="420" w:firstLineChars="0"/>
        <w:jc w:val="both"/>
        <w:rPr>
          <w:rFonts w:hint="eastAsia" w:ascii="楷体_GB2312" w:hAnsi="楷体_GB2312" w:eastAsia="楷体_GB2312" w:cs="楷体_GB2312"/>
          <w:b/>
          <w:bCs/>
          <w:color w:val="auto"/>
          <w:kern w:val="2"/>
          <w:sz w:val="32"/>
          <w:szCs w:val="32"/>
          <w:lang w:val="en-US" w:eastAsia="zh-CN" w:bidi="ar-SA"/>
        </w:rPr>
      </w:pPr>
      <w:bookmarkStart w:id="24" w:name="_Toc694"/>
    </w:p>
    <w:p w14:paraId="60218A71">
      <w:pPr>
        <w:numPr>
          <w:ilvl w:val="0"/>
          <w:numId w:val="0"/>
        </w:numPr>
        <w:ind w:left="0" w:leftChars="0" w:firstLine="420" w:firstLineChars="0"/>
        <w:jc w:val="both"/>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（六）</w:t>
      </w:r>
      <w:r>
        <w:rPr>
          <w:rFonts w:hint="eastAsia" w:ascii="楷体_GB2312" w:hAnsi="楷体_GB2312" w:eastAsia="楷体_GB2312" w:cs="楷体_GB2312"/>
          <w:b/>
          <w:bCs/>
          <w:color w:val="auto"/>
          <w:sz w:val="32"/>
          <w:szCs w:val="32"/>
          <w:highlight w:val="none"/>
          <w:lang w:val="en-US" w:eastAsia="zh-CN"/>
        </w:rPr>
        <w:t>所有设施运输要求</w:t>
      </w:r>
      <w:bookmarkEnd w:id="24"/>
    </w:p>
    <w:p w14:paraId="602AF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5" w:name="_Toc28100"/>
      <w:r>
        <w:rPr>
          <w:rFonts w:hint="eastAsia" w:ascii="仿宋_GB2312" w:hAnsi="仿宋_GB2312" w:eastAsia="仿宋_GB2312" w:cs="仿宋_GB2312"/>
          <w:b/>
          <w:bCs/>
          <w:color w:val="auto"/>
          <w:sz w:val="32"/>
          <w:szCs w:val="32"/>
          <w:highlight w:val="none"/>
          <w:lang w:val="en-US" w:eastAsia="zh-CN"/>
        </w:rPr>
        <w:t>1.说明</w:t>
      </w:r>
      <w:bookmarkEnd w:id="25"/>
    </w:p>
    <w:p w14:paraId="31646B7E">
      <w:pPr>
        <w:pStyle w:val="8"/>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技术文件详参有规定的，按详参规定执行，没有详参规定的，按照本通则执行。</w:t>
      </w:r>
    </w:p>
    <w:p w14:paraId="3DBB67B1">
      <w:pPr>
        <w:pStyle w:val="8"/>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29307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26" w:name="_Toc5657"/>
      <w:r>
        <w:rPr>
          <w:rFonts w:hint="eastAsia" w:ascii="仿宋_GB2312" w:hAnsi="仿宋_GB2312" w:eastAsia="仿宋_GB2312" w:cs="仿宋_GB2312"/>
          <w:b/>
          <w:bCs/>
          <w:color w:val="auto"/>
          <w:sz w:val="32"/>
          <w:szCs w:val="32"/>
          <w:highlight w:val="none"/>
          <w:lang w:val="en-US" w:eastAsia="zh-CN"/>
        </w:rPr>
        <w:t>2.运输用基本设备及常用材料</w:t>
      </w:r>
      <w:bookmarkEnd w:id="26"/>
    </w:p>
    <w:p w14:paraId="71F61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行车；(2)叉车；(3)各种规格的胶合板垫木；(4)带塑料保护套的钢丝绳、紧固拉钩套件、花兰螺丝、捆绑器、钢钉；(5)晴纶卷、橡胶板、稻草绳；(6)钢制打包带；(7)发泡塑料（喷塑杆专用）；(8)尼龙绳（用于替代目前喷塑杆包装中使用的草绳）；(9)胶合板配件箱；(10)木料切割机；(11)镀锌螺丝及螺母（用于小部件固定）。</w:t>
      </w:r>
    </w:p>
    <w:p w14:paraId="0A36C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在运输、装卸等环节，必须做好成品保护，确保货物完好无损。所有措施费用含在投标报价中。</w:t>
      </w:r>
    </w:p>
    <w:p w14:paraId="7AEC9313">
      <w:pPr>
        <w:rPr>
          <w:rFonts w:hint="eastAsia"/>
          <w:color w:val="auto"/>
          <w:sz w:val="24"/>
          <w:highlight w:val="none"/>
        </w:rPr>
      </w:pPr>
      <w:r>
        <w:rPr>
          <w:rFonts w:hint="eastAsia" w:ascii="仿宋_GB2312" w:hAnsi="仿宋_GB2312" w:eastAsia="仿宋_GB2312" w:cs="仿宋_GB2312"/>
          <w:color w:val="auto"/>
          <w:sz w:val="32"/>
          <w:szCs w:val="32"/>
          <w:highlight w:val="none"/>
          <w:lang w:eastAsia="zh-CN"/>
        </w:rPr>
        <w:br w:type="page"/>
      </w:r>
    </w:p>
    <w:p w14:paraId="227A7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highlight w:val="none"/>
          <w:lang w:val="en-US" w:eastAsia="zh-CN"/>
        </w:rPr>
        <w:t xml:space="preserve">灯具详细参数 </w:t>
      </w:r>
    </w:p>
    <w:bookmarkEnd w:id="1"/>
    <w:p w14:paraId="506E2EAF">
      <w:pPr>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（1）12W LED 壁灯 （3000K) </w:t>
      </w:r>
    </w:p>
    <w:tbl>
      <w:tblPr>
        <w:tblStyle w:val="4"/>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59"/>
        <w:gridCol w:w="1214"/>
        <w:gridCol w:w="1836"/>
        <w:gridCol w:w="1054"/>
        <w:gridCol w:w="1021"/>
        <w:gridCol w:w="2259"/>
      </w:tblGrid>
      <w:tr w14:paraId="248F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8" w:hRule="atLeast"/>
        </w:trPr>
        <w:tc>
          <w:tcPr>
            <w:tcW w:w="1259" w:type="dxa"/>
            <w:vMerge w:val="restart"/>
            <w:vAlign w:val="center"/>
          </w:tcPr>
          <w:p w14:paraId="7518720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灯具</w:t>
            </w:r>
          </w:p>
        </w:tc>
        <w:tc>
          <w:tcPr>
            <w:tcW w:w="1214" w:type="dxa"/>
            <w:vAlign w:val="center"/>
          </w:tcPr>
          <w:p w14:paraId="438C05B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外形</w:t>
            </w:r>
          </w:p>
          <w:p w14:paraId="6218C08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（仅供</w:t>
            </w:r>
          </w:p>
          <w:p w14:paraId="0445080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参考）</w:t>
            </w:r>
          </w:p>
        </w:tc>
        <w:tc>
          <w:tcPr>
            <w:tcW w:w="6170" w:type="dxa"/>
            <w:gridSpan w:val="4"/>
            <w:vAlign w:val="center"/>
          </w:tcPr>
          <w:p w14:paraId="09152B6D">
            <w:pPr>
              <w:jc w:val="left"/>
              <w:rPr>
                <w:rFonts w:hint="eastAsia" w:ascii="仿宋_GB2312" w:hAnsi="仿宋_GB2312" w:eastAsia="仿宋_GB2312" w:cs="仿宋_GB2312"/>
                <w:b w:val="0"/>
                <w:bCs/>
                <w:color w:val="auto"/>
                <w:kern w:val="0"/>
                <w:sz w:val="24"/>
                <w:szCs w:val="24"/>
                <w:lang w:val="en-US" w:eastAsia="zh-CN"/>
              </w:rPr>
            </w:pPr>
            <w:r>
              <w:drawing>
                <wp:anchor distT="0" distB="0" distL="114300" distR="114300" simplePos="0" relativeHeight="251661312" behindDoc="0" locked="0" layoutInCell="1" allowOverlap="1">
                  <wp:simplePos x="0" y="0"/>
                  <wp:positionH relativeFrom="column">
                    <wp:posOffset>661035</wp:posOffset>
                  </wp:positionH>
                  <wp:positionV relativeFrom="paragraph">
                    <wp:posOffset>7620</wp:posOffset>
                  </wp:positionV>
                  <wp:extent cx="2272665" cy="1804035"/>
                  <wp:effectExtent l="0" t="0" r="1333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72665" cy="1804035"/>
                          </a:xfrm>
                          <a:prstGeom prst="rect">
                            <a:avLst/>
                          </a:prstGeom>
                          <a:noFill/>
                          <a:ln>
                            <a:noFill/>
                          </a:ln>
                        </pic:spPr>
                      </pic:pic>
                    </a:graphicData>
                  </a:graphic>
                </wp:anchor>
              </w:drawing>
            </w:r>
          </w:p>
        </w:tc>
      </w:tr>
      <w:tr w14:paraId="5D48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087720B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214" w:type="dxa"/>
            <w:vMerge w:val="restart"/>
            <w:vAlign w:val="center"/>
          </w:tcPr>
          <w:p w14:paraId="1087B53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尺寸</w:t>
            </w:r>
          </w:p>
        </w:tc>
        <w:tc>
          <w:tcPr>
            <w:tcW w:w="1836" w:type="dxa"/>
            <w:vAlign w:val="center"/>
          </w:tcPr>
          <w:p w14:paraId="46292E0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长度（L）</w:t>
            </w:r>
          </w:p>
        </w:tc>
        <w:tc>
          <w:tcPr>
            <w:tcW w:w="1054" w:type="dxa"/>
            <w:vAlign w:val="center"/>
          </w:tcPr>
          <w:p w14:paraId="7F40A19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400mm</w:t>
            </w:r>
          </w:p>
        </w:tc>
        <w:tc>
          <w:tcPr>
            <w:tcW w:w="1021" w:type="dxa"/>
            <w:vAlign w:val="center"/>
          </w:tcPr>
          <w:p w14:paraId="6131B1A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允许偏差</w:t>
            </w:r>
          </w:p>
        </w:tc>
        <w:tc>
          <w:tcPr>
            <w:tcW w:w="2259" w:type="dxa"/>
            <w:vAlign w:val="center"/>
          </w:tcPr>
          <w:p w14:paraId="0EB0390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±3mm</w:t>
            </w:r>
          </w:p>
        </w:tc>
      </w:tr>
      <w:tr w14:paraId="0FCD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133E8C0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214" w:type="dxa"/>
            <w:vMerge w:val="continue"/>
            <w:vAlign w:val="center"/>
          </w:tcPr>
          <w:p w14:paraId="55EBB75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836" w:type="dxa"/>
            <w:vAlign w:val="center"/>
          </w:tcPr>
          <w:p w14:paraId="792E819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宽度（W）</w:t>
            </w:r>
          </w:p>
        </w:tc>
        <w:tc>
          <w:tcPr>
            <w:tcW w:w="1054" w:type="dxa"/>
            <w:vAlign w:val="center"/>
          </w:tcPr>
          <w:p w14:paraId="049701E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300mm</w:t>
            </w:r>
          </w:p>
        </w:tc>
        <w:tc>
          <w:tcPr>
            <w:tcW w:w="1021" w:type="dxa"/>
            <w:vAlign w:val="center"/>
          </w:tcPr>
          <w:p w14:paraId="0011251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允许偏差</w:t>
            </w:r>
          </w:p>
        </w:tc>
        <w:tc>
          <w:tcPr>
            <w:tcW w:w="2259" w:type="dxa"/>
            <w:vAlign w:val="center"/>
          </w:tcPr>
          <w:p w14:paraId="436BFC7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±3mm</w:t>
            </w:r>
          </w:p>
        </w:tc>
      </w:tr>
      <w:tr w14:paraId="41A0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553B3A4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214" w:type="dxa"/>
            <w:vMerge w:val="continue"/>
            <w:vAlign w:val="center"/>
          </w:tcPr>
          <w:p w14:paraId="22B9F4F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836" w:type="dxa"/>
            <w:vAlign w:val="center"/>
          </w:tcPr>
          <w:p w14:paraId="68A243B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高（H)</w:t>
            </w:r>
          </w:p>
        </w:tc>
        <w:tc>
          <w:tcPr>
            <w:tcW w:w="1054" w:type="dxa"/>
            <w:vAlign w:val="center"/>
          </w:tcPr>
          <w:p w14:paraId="0B503E2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80mm</w:t>
            </w:r>
          </w:p>
        </w:tc>
        <w:tc>
          <w:tcPr>
            <w:tcW w:w="1021" w:type="dxa"/>
            <w:vAlign w:val="center"/>
          </w:tcPr>
          <w:p w14:paraId="5BC0918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允许偏差</w:t>
            </w:r>
          </w:p>
        </w:tc>
        <w:tc>
          <w:tcPr>
            <w:tcW w:w="2259" w:type="dxa"/>
            <w:vAlign w:val="center"/>
          </w:tcPr>
          <w:p w14:paraId="0C5AD00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±3mm</w:t>
            </w:r>
          </w:p>
        </w:tc>
      </w:tr>
      <w:tr w14:paraId="7B9C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12975F6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214" w:type="dxa"/>
            <w:vMerge w:val="restart"/>
            <w:vAlign w:val="center"/>
          </w:tcPr>
          <w:p w14:paraId="2AEDA36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材质</w:t>
            </w:r>
          </w:p>
        </w:tc>
        <w:tc>
          <w:tcPr>
            <w:tcW w:w="1836" w:type="dxa"/>
            <w:vAlign w:val="center"/>
          </w:tcPr>
          <w:p w14:paraId="3B20C81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灯具外壳</w:t>
            </w:r>
          </w:p>
        </w:tc>
        <w:tc>
          <w:tcPr>
            <w:tcW w:w="4334" w:type="dxa"/>
            <w:gridSpan w:val="3"/>
            <w:vAlign w:val="center"/>
          </w:tcPr>
          <w:p w14:paraId="7DC32A7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 xml:space="preserve"> 铝型材灯体，玻璃匀光透光光学件</w:t>
            </w:r>
          </w:p>
          <w:p w14:paraId="4DB1292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（不变色，耐腐蚀，耐老化，耐高温，耐撞击，抗破坏）</w:t>
            </w:r>
          </w:p>
        </w:tc>
      </w:tr>
      <w:tr w14:paraId="4C76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1DAC48B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214" w:type="dxa"/>
            <w:vMerge w:val="continue"/>
            <w:vAlign w:val="center"/>
          </w:tcPr>
          <w:p w14:paraId="633F404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1836" w:type="dxa"/>
            <w:vAlign w:val="center"/>
          </w:tcPr>
          <w:p w14:paraId="105835D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出光面</w:t>
            </w:r>
          </w:p>
        </w:tc>
        <w:tc>
          <w:tcPr>
            <w:tcW w:w="4334" w:type="dxa"/>
            <w:gridSpan w:val="3"/>
            <w:vAlign w:val="center"/>
          </w:tcPr>
          <w:p w14:paraId="0E2BBB7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内嵌模组灯，一体化PC透镜，</w:t>
            </w:r>
          </w:p>
          <w:p w14:paraId="020E030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一次配光设计</w:t>
            </w:r>
          </w:p>
        </w:tc>
      </w:tr>
      <w:tr w14:paraId="31D4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59" w:type="dxa"/>
            <w:vMerge w:val="continue"/>
            <w:vAlign w:val="center"/>
          </w:tcPr>
          <w:p w14:paraId="476BF4D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p>
        </w:tc>
        <w:tc>
          <w:tcPr>
            <w:tcW w:w="3050" w:type="dxa"/>
            <w:gridSpan w:val="2"/>
            <w:vAlign w:val="center"/>
          </w:tcPr>
          <w:p w14:paraId="743A912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外壳颜色</w:t>
            </w:r>
          </w:p>
        </w:tc>
        <w:tc>
          <w:tcPr>
            <w:tcW w:w="4334" w:type="dxa"/>
            <w:gridSpan w:val="3"/>
            <w:vAlign w:val="center"/>
          </w:tcPr>
          <w:p w14:paraId="2C17E1B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黑色</w:t>
            </w:r>
          </w:p>
        </w:tc>
      </w:tr>
      <w:tr w14:paraId="6CE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1259" w:type="dxa"/>
            <w:vAlign w:val="center"/>
          </w:tcPr>
          <w:p w14:paraId="2AB1E70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光学</w:t>
            </w:r>
          </w:p>
        </w:tc>
        <w:tc>
          <w:tcPr>
            <w:tcW w:w="1214" w:type="dxa"/>
            <w:vAlign w:val="center"/>
          </w:tcPr>
          <w:p w14:paraId="59A82BE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半峰发散角</w:t>
            </w:r>
          </w:p>
        </w:tc>
        <w:tc>
          <w:tcPr>
            <w:tcW w:w="1836" w:type="dxa"/>
            <w:vAlign w:val="center"/>
          </w:tcPr>
          <w:p w14:paraId="42550D9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30°</w:t>
            </w:r>
          </w:p>
        </w:tc>
        <w:tc>
          <w:tcPr>
            <w:tcW w:w="2075" w:type="dxa"/>
            <w:gridSpan w:val="2"/>
            <w:vAlign w:val="center"/>
          </w:tcPr>
          <w:p w14:paraId="3F50F87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显色指数</w:t>
            </w:r>
          </w:p>
        </w:tc>
        <w:tc>
          <w:tcPr>
            <w:tcW w:w="2259" w:type="dxa"/>
            <w:vAlign w:val="center"/>
          </w:tcPr>
          <w:p w14:paraId="2671145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≧80</w:t>
            </w:r>
          </w:p>
        </w:tc>
      </w:tr>
      <w:tr w14:paraId="6896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2" w:hRule="atLeast"/>
        </w:trPr>
        <w:tc>
          <w:tcPr>
            <w:tcW w:w="1259" w:type="dxa"/>
            <w:vAlign w:val="center"/>
          </w:tcPr>
          <w:p w14:paraId="03DCBAF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光效</w:t>
            </w:r>
          </w:p>
        </w:tc>
        <w:tc>
          <w:tcPr>
            <w:tcW w:w="7384" w:type="dxa"/>
            <w:gridSpan w:val="5"/>
            <w:vAlign w:val="center"/>
          </w:tcPr>
          <w:p w14:paraId="041BBE2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灯具光效≥60lm/W</w:t>
            </w:r>
          </w:p>
        </w:tc>
      </w:tr>
      <w:tr w14:paraId="18E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2" w:hRule="atLeast"/>
        </w:trPr>
        <w:tc>
          <w:tcPr>
            <w:tcW w:w="1259" w:type="dxa"/>
            <w:vAlign w:val="center"/>
          </w:tcPr>
          <w:p w14:paraId="2ACCE32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防护等级</w:t>
            </w:r>
          </w:p>
        </w:tc>
        <w:tc>
          <w:tcPr>
            <w:tcW w:w="7384" w:type="dxa"/>
            <w:gridSpan w:val="5"/>
            <w:vAlign w:val="center"/>
          </w:tcPr>
          <w:p w14:paraId="25D571D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微软雅黑" w:cs="仿宋_GB2312"/>
                <w:b w:val="0"/>
                <w:bCs/>
                <w:color w:val="auto"/>
                <w:kern w:val="0"/>
                <w:sz w:val="24"/>
                <w:szCs w:val="24"/>
                <w:lang w:val="en-US" w:eastAsia="zh-CN"/>
              </w:rPr>
            </w:pPr>
            <w:r>
              <w:rPr>
                <w:rFonts w:ascii="微软雅黑" w:hAnsi="微软雅黑" w:eastAsia="微软雅黑" w:cs="微软雅黑"/>
                <w:i w:val="0"/>
                <w:iCs w:val="0"/>
                <w:caps w:val="0"/>
                <w:color w:val="333333"/>
                <w:spacing w:val="0"/>
                <w:sz w:val="18"/>
                <w:szCs w:val="18"/>
                <w:shd w:val="clear" w:fill="FFFFFF"/>
              </w:rPr>
              <w:t>IP6</w:t>
            </w:r>
            <w:r>
              <w:rPr>
                <w:rFonts w:hint="eastAsia" w:ascii="微软雅黑" w:hAnsi="微软雅黑" w:eastAsia="微软雅黑" w:cs="微软雅黑"/>
                <w:i w:val="0"/>
                <w:iCs w:val="0"/>
                <w:caps w:val="0"/>
                <w:color w:val="333333"/>
                <w:spacing w:val="0"/>
                <w:sz w:val="18"/>
                <w:szCs w:val="18"/>
                <w:shd w:val="clear" w:fill="FFFFFF"/>
                <w:lang w:val="en-US" w:eastAsia="zh-CN"/>
              </w:rPr>
              <w:t>5</w:t>
            </w:r>
          </w:p>
        </w:tc>
      </w:tr>
      <w:tr w14:paraId="353A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1259" w:type="dxa"/>
            <w:vAlign w:val="center"/>
          </w:tcPr>
          <w:p w14:paraId="4A49376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备注</w:t>
            </w:r>
          </w:p>
        </w:tc>
        <w:tc>
          <w:tcPr>
            <w:tcW w:w="7384" w:type="dxa"/>
            <w:gridSpan w:val="5"/>
            <w:vAlign w:val="center"/>
          </w:tcPr>
          <w:p w14:paraId="5A149BD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中标厂家需根据现场实际情况深化灯具安装方式，灯具固定牢固美观，且可拆卸便于维护。</w:t>
            </w:r>
          </w:p>
        </w:tc>
      </w:tr>
      <w:tr w14:paraId="55D8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1259" w:type="dxa"/>
            <w:vAlign w:val="center"/>
          </w:tcPr>
          <w:p w14:paraId="3198B8D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b w:val="0"/>
                <w:bCs/>
                <w:color w:val="auto"/>
                <w:kern w:val="0"/>
                <w:sz w:val="24"/>
                <w:szCs w:val="24"/>
                <w:lang w:val="en-US" w:eastAsia="zh-CN"/>
              </w:rPr>
              <w:t>效果</w:t>
            </w:r>
          </w:p>
        </w:tc>
        <w:tc>
          <w:tcPr>
            <w:tcW w:w="7384" w:type="dxa"/>
            <w:gridSpan w:val="5"/>
            <w:vAlign w:val="center"/>
          </w:tcPr>
          <w:p w14:paraId="493618E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color w:val="auto"/>
                <w:kern w:val="0"/>
                <w:sz w:val="24"/>
                <w:szCs w:val="24"/>
                <w:lang w:val="en-US" w:eastAsia="zh-CN"/>
              </w:rPr>
            </w:pPr>
            <w:r>
              <w:drawing>
                <wp:anchor distT="0" distB="0" distL="114300" distR="114300" simplePos="0" relativeHeight="251662336" behindDoc="0" locked="0" layoutInCell="1" allowOverlap="1">
                  <wp:simplePos x="0" y="0"/>
                  <wp:positionH relativeFrom="column">
                    <wp:posOffset>1713865</wp:posOffset>
                  </wp:positionH>
                  <wp:positionV relativeFrom="paragraph">
                    <wp:posOffset>78740</wp:posOffset>
                  </wp:positionV>
                  <wp:extent cx="563245" cy="983615"/>
                  <wp:effectExtent l="0" t="0" r="8255" b="698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3245" cy="983615"/>
                          </a:xfrm>
                          <a:prstGeom prst="rect">
                            <a:avLst/>
                          </a:prstGeom>
                          <a:noFill/>
                          <a:ln>
                            <a:noFill/>
                          </a:ln>
                        </pic:spPr>
                      </pic:pic>
                    </a:graphicData>
                  </a:graphic>
                </wp:anchor>
              </w:drawing>
            </w:r>
          </w:p>
        </w:tc>
      </w:tr>
    </w:tbl>
    <w:p w14:paraId="3FCA89A8">
      <w:pPr>
        <w:rPr>
          <w:rFonts w:hint="eastAsia" w:ascii="仿宋_GB2312" w:hAnsi="仿宋_GB2312" w:eastAsia="仿宋_GB2312" w:cs="仿宋_GB2312"/>
          <w:kern w:val="0"/>
          <w:sz w:val="21"/>
          <w:szCs w:val="21"/>
        </w:rPr>
      </w:pPr>
    </w:p>
    <w:p w14:paraId="78669FAE">
      <w:pPr>
        <w:rPr>
          <w:rFonts w:hint="eastAsia" w:ascii="仿宋_GB2312" w:hAnsi="仿宋_GB2312" w:eastAsia="仿宋_GB2312" w:cs="仿宋_GB2312"/>
          <w:kern w:val="0"/>
          <w:sz w:val="21"/>
          <w:szCs w:val="21"/>
        </w:rPr>
      </w:pPr>
    </w:p>
    <w:p w14:paraId="60171D9F">
      <w:pPr>
        <w:rPr>
          <w:rFonts w:hint="eastAsia" w:ascii="仿宋_GB2312" w:hAnsi="仿宋_GB2312" w:eastAsia="仿宋_GB2312" w:cs="仿宋_GB2312"/>
          <w:kern w:val="0"/>
          <w:sz w:val="21"/>
          <w:szCs w:val="21"/>
        </w:rPr>
      </w:pPr>
    </w:p>
    <w:p w14:paraId="73C7C101">
      <w:pPr>
        <w:rPr>
          <w:rFonts w:hint="eastAsia" w:ascii="仿宋_GB2312" w:hAnsi="仿宋_GB2312" w:eastAsia="仿宋_GB2312" w:cs="仿宋_GB2312"/>
          <w:kern w:val="0"/>
          <w:sz w:val="21"/>
          <w:szCs w:val="21"/>
        </w:rPr>
      </w:pPr>
    </w:p>
    <w:p w14:paraId="280524BC">
      <w:pPr>
        <w:pStyle w:val="6"/>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2ViNjMxZjc0NGI2MDg0MDM0ZGNiYjA4YTk3ZWQifQ=="/>
  </w:docVars>
  <w:rsids>
    <w:rsidRoot w:val="59764397"/>
    <w:rsid w:val="0005040A"/>
    <w:rsid w:val="01EA46B0"/>
    <w:rsid w:val="01FE00CF"/>
    <w:rsid w:val="02554941"/>
    <w:rsid w:val="03305FFE"/>
    <w:rsid w:val="03BF720C"/>
    <w:rsid w:val="051F25EA"/>
    <w:rsid w:val="07481E16"/>
    <w:rsid w:val="07AD2E51"/>
    <w:rsid w:val="080C6571"/>
    <w:rsid w:val="0886224C"/>
    <w:rsid w:val="09C43EAE"/>
    <w:rsid w:val="09F9539C"/>
    <w:rsid w:val="0A072628"/>
    <w:rsid w:val="0B467C8E"/>
    <w:rsid w:val="0CB1215A"/>
    <w:rsid w:val="0CEB2F82"/>
    <w:rsid w:val="0F6A542A"/>
    <w:rsid w:val="106C0726"/>
    <w:rsid w:val="10E41D01"/>
    <w:rsid w:val="118D4632"/>
    <w:rsid w:val="148778D4"/>
    <w:rsid w:val="154F0477"/>
    <w:rsid w:val="175E3944"/>
    <w:rsid w:val="17930DF4"/>
    <w:rsid w:val="1908214B"/>
    <w:rsid w:val="190C0A63"/>
    <w:rsid w:val="19822347"/>
    <w:rsid w:val="1A9461EB"/>
    <w:rsid w:val="1B5A379B"/>
    <w:rsid w:val="1C59345D"/>
    <w:rsid w:val="1C800276"/>
    <w:rsid w:val="1EE16045"/>
    <w:rsid w:val="1F4B69E7"/>
    <w:rsid w:val="1FBF5853"/>
    <w:rsid w:val="20E23EF5"/>
    <w:rsid w:val="210F5905"/>
    <w:rsid w:val="21D957EF"/>
    <w:rsid w:val="22D77422"/>
    <w:rsid w:val="237346CE"/>
    <w:rsid w:val="23A5630C"/>
    <w:rsid w:val="23EE3640"/>
    <w:rsid w:val="268918D2"/>
    <w:rsid w:val="268A1547"/>
    <w:rsid w:val="278C2824"/>
    <w:rsid w:val="27C5760C"/>
    <w:rsid w:val="27E7505C"/>
    <w:rsid w:val="2952435F"/>
    <w:rsid w:val="29611C43"/>
    <w:rsid w:val="2C9F31E4"/>
    <w:rsid w:val="2D1917B0"/>
    <w:rsid w:val="2DD459B5"/>
    <w:rsid w:val="2DDB06C7"/>
    <w:rsid w:val="2E7B2927"/>
    <w:rsid w:val="2E7D3D65"/>
    <w:rsid w:val="3031424E"/>
    <w:rsid w:val="306E7B96"/>
    <w:rsid w:val="33AB32FB"/>
    <w:rsid w:val="33B4392F"/>
    <w:rsid w:val="33FB42EA"/>
    <w:rsid w:val="366C449A"/>
    <w:rsid w:val="369E0EF6"/>
    <w:rsid w:val="36CD2637"/>
    <w:rsid w:val="384E6A37"/>
    <w:rsid w:val="38C41932"/>
    <w:rsid w:val="3942200C"/>
    <w:rsid w:val="39C965C3"/>
    <w:rsid w:val="3B2E621F"/>
    <w:rsid w:val="3B991EF5"/>
    <w:rsid w:val="3C1D3CD0"/>
    <w:rsid w:val="3CB47031"/>
    <w:rsid w:val="3D057D27"/>
    <w:rsid w:val="3D2C1009"/>
    <w:rsid w:val="3D683B43"/>
    <w:rsid w:val="3D913B8B"/>
    <w:rsid w:val="3F1E2BD3"/>
    <w:rsid w:val="3F8867C0"/>
    <w:rsid w:val="3FEB7A28"/>
    <w:rsid w:val="41685545"/>
    <w:rsid w:val="41930E66"/>
    <w:rsid w:val="41DC422F"/>
    <w:rsid w:val="42293D69"/>
    <w:rsid w:val="427A3B9B"/>
    <w:rsid w:val="447D2DED"/>
    <w:rsid w:val="44916A31"/>
    <w:rsid w:val="44B907F3"/>
    <w:rsid w:val="46913FD1"/>
    <w:rsid w:val="47403EFC"/>
    <w:rsid w:val="48021C35"/>
    <w:rsid w:val="48CB25B9"/>
    <w:rsid w:val="4BD305C8"/>
    <w:rsid w:val="4CA94C57"/>
    <w:rsid w:val="4D3A1520"/>
    <w:rsid w:val="4DF16298"/>
    <w:rsid w:val="4E332264"/>
    <w:rsid w:val="4F9A6E69"/>
    <w:rsid w:val="4FEE03A0"/>
    <w:rsid w:val="50C472EC"/>
    <w:rsid w:val="51F06486"/>
    <w:rsid w:val="523744EF"/>
    <w:rsid w:val="52900819"/>
    <w:rsid w:val="529C0520"/>
    <w:rsid w:val="54412859"/>
    <w:rsid w:val="555716F5"/>
    <w:rsid w:val="56BA169B"/>
    <w:rsid w:val="573C5DC9"/>
    <w:rsid w:val="57787082"/>
    <w:rsid w:val="58D75E75"/>
    <w:rsid w:val="59764397"/>
    <w:rsid w:val="5A887293"/>
    <w:rsid w:val="5B8D5233"/>
    <w:rsid w:val="5BDD7C46"/>
    <w:rsid w:val="5C454E18"/>
    <w:rsid w:val="5C493836"/>
    <w:rsid w:val="5C852F2E"/>
    <w:rsid w:val="5D111612"/>
    <w:rsid w:val="5E8C0E05"/>
    <w:rsid w:val="60835328"/>
    <w:rsid w:val="61E34571"/>
    <w:rsid w:val="63D40908"/>
    <w:rsid w:val="64800D38"/>
    <w:rsid w:val="64E567DD"/>
    <w:rsid w:val="65CC6636"/>
    <w:rsid w:val="670569F4"/>
    <w:rsid w:val="68001026"/>
    <w:rsid w:val="68D44E79"/>
    <w:rsid w:val="691D0F49"/>
    <w:rsid w:val="697413EE"/>
    <w:rsid w:val="6A0953F7"/>
    <w:rsid w:val="6A570BC4"/>
    <w:rsid w:val="6AD34BC7"/>
    <w:rsid w:val="6CA11890"/>
    <w:rsid w:val="6CF3433D"/>
    <w:rsid w:val="6DD27099"/>
    <w:rsid w:val="6EF57311"/>
    <w:rsid w:val="700E441B"/>
    <w:rsid w:val="70EA5C7F"/>
    <w:rsid w:val="716E6C2F"/>
    <w:rsid w:val="731618CD"/>
    <w:rsid w:val="7343144B"/>
    <w:rsid w:val="75895AE7"/>
    <w:rsid w:val="76B26614"/>
    <w:rsid w:val="778E6507"/>
    <w:rsid w:val="780F2A36"/>
    <w:rsid w:val="7AFA17EA"/>
    <w:rsid w:val="7BC5771E"/>
    <w:rsid w:val="7E1D0470"/>
    <w:rsid w:val="7F0A53F1"/>
    <w:rsid w:val="7F25383A"/>
    <w:rsid w:val="7F453223"/>
    <w:rsid w:val="7F4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50" w:afterLines="150"/>
      <w:jc w:val="center"/>
      <w:outlineLvl w:val="0"/>
    </w:pPr>
    <w:rPr>
      <w:rFonts w:ascii="Times New Roman" w:hAnsi="Times New Roman" w:cs="Times New Roman"/>
      <w:b/>
      <w:kern w:val="44"/>
      <w:sz w:val="48"/>
      <w:szCs w:val="20"/>
    </w:rPr>
  </w:style>
  <w:style w:type="paragraph" w:styleId="3">
    <w:name w:val="heading 3"/>
    <w:basedOn w:val="1"/>
    <w:next w:val="1"/>
    <w:autoRedefine/>
    <w:unhideWhenUsed/>
    <w:qFormat/>
    <w:uiPriority w:val="0"/>
    <w:pPr>
      <w:keepNext/>
      <w:keepLines/>
      <w:ind w:left="420" w:leftChars="200" w:firstLine="880" w:firstLineChars="200"/>
      <w:jc w:val="left"/>
      <w:outlineLvl w:val="2"/>
    </w:pPr>
    <w:rPr>
      <w:rFonts w:ascii="Calibri" w:hAnsi="Calibri" w:eastAsia="黑体"/>
      <w:b/>
      <w:kern w:val="0"/>
      <w:sz w:val="28"/>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列出段落1"/>
    <w:basedOn w:val="1"/>
    <w:autoRedefine/>
    <w:qFormat/>
    <w:uiPriority w:val="0"/>
    <w:pPr>
      <w:adjustRightInd w:val="0"/>
      <w:spacing w:line="312" w:lineRule="atLeast"/>
      <w:ind w:firstLine="420" w:firstLineChars="200"/>
    </w:pPr>
    <w:rPr>
      <w:rFonts w:ascii="等线" w:hAnsi="等线" w:eastAsia="等线" w:cs="Times New Roman"/>
      <w:szCs w:val="22"/>
    </w:rPr>
  </w:style>
  <w:style w:type="paragraph" w:customStyle="1" w:styleId="8">
    <w:name w:val="_Style 2"/>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6216</Words>
  <Characters>7043</Characters>
  <Lines>0</Lines>
  <Paragraphs>0</Paragraphs>
  <TotalTime>2</TotalTime>
  <ScaleCrop>false</ScaleCrop>
  <LinksUpToDate>false</LinksUpToDate>
  <CharactersWithSpaces>7074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2023-10-10T00:46:00Z</dcterms:created>
  <dc:creator>yangyic</dc:creator>
  <cp:lastModifiedBy>李世龙</cp:lastModifiedBy>
  <cp:lastPrinted>2024-12-03T08:48:00Z</cp:lastPrinted>
  <dcterms:modified xsi:type="dcterms:W3CDTF">2025-06-04T06:13:04Z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7ABB9FADD5F14738B716EAE0282E0B5D_13</vt:lpwstr>
  </property>
  <property fmtid="{D5CDD505-2E9C-101B-9397-08002B2CF9AE}" pid="4" name="KSOTemplateDocerSaveRecord">
    <vt:lpwstr>eyJoZGlkIjoiMjY3YTUzM2M3NmJlNGM5YzhlMTY3MDAzMDdiNDA4YmEiLCJ1c2VySWQiOiI3MTMzNDk1ODgifQ==</vt:lpwstr>
  </property>
</Properties>
</file>