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C34F">
      <w:pPr>
        <w:jc w:val="left"/>
        <w:rPr>
          <w:rFonts w:ascii="宋体" w:hAnsi="宋体" w:cs="宋体"/>
          <w:color w:val="auto"/>
          <w:sz w:val="44"/>
          <w:szCs w:val="44"/>
          <w:highlight w:val="none"/>
        </w:rPr>
      </w:pPr>
    </w:p>
    <w:p w14:paraId="73A94FED">
      <w:pPr>
        <w:tabs>
          <w:tab w:val="left" w:pos="2450"/>
        </w:tabs>
        <w:spacing w:line="680" w:lineRule="exact"/>
        <w:rPr>
          <w:rFonts w:ascii="宋体" w:hAnsi="宋体" w:cs="宋体"/>
          <w:color w:val="auto"/>
          <w:sz w:val="44"/>
          <w:szCs w:val="44"/>
          <w:highlight w:val="none"/>
        </w:rPr>
      </w:pPr>
    </w:p>
    <w:p w14:paraId="7BEE615B">
      <w:pPr>
        <w:snapToGrid w:val="0"/>
        <w:spacing w:line="360" w:lineRule="auto"/>
        <w:jc w:val="center"/>
        <w:rPr>
          <w:rFonts w:ascii="宋体" w:hAnsi="宋体" w:cs="黑体"/>
          <w:b/>
          <w:color w:val="auto"/>
          <w:spacing w:val="170"/>
          <w:kern w:val="0"/>
          <w:sz w:val="84"/>
          <w:szCs w:val="84"/>
          <w:highlight w:val="none"/>
        </w:rPr>
      </w:pPr>
    </w:p>
    <w:p w14:paraId="5A923B8D">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1F6F51DE">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50343CBE">
      <w:pPr>
        <w:adjustRightInd w:val="0"/>
        <w:snapToGrid w:val="0"/>
        <w:spacing w:line="800" w:lineRule="exact"/>
        <w:rPr>
          <w:rFonts w:ascii="宋体" w:hAnsi="宋体" w:cs="宋体"/>
          <w:color w:val="auto"/>
          <w:sz w:val="44"/>
          <w:szCs w:val="44"/>
          <w:highlight w:val="none"/>
        </w:rPr>
      </w:pPr>
    </w:p>
    <w:p w14:paraId="1EC2C7BB">
      <w:pPr>
        <w:adjustRightInd w:val="0"/>
        <w:snapToGrid w:val="0"/>
        <w:spacing w:line="800" w:lineRule="exact"/>
        <w:ind w:firstLine="1680" w:firstLineChars="600"/>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lang w:eastAsia="zh-CN"/>
        </w:rPr>
        <w:t>CT-SX-2025074</w:t>
      </w:r>
    </w:p>
    <w:p w14:paraId="1A99A82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采购项目名称：警校关于模拟街区改造项目 </w:t>
      </w:r>
    </w:p>
    <w:p w14:paraId="21110CE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 购 人名称：常州市公安局 </w:t>
      </w:r>
    </w:p>
    <w:p w14:paraId="24865B2C">
      <w:pPr>
        <w:adjustRightInd w:val="0"/>
        <w:snapToGrid w:val="0"/>
        <w:spacing w:line="800" w:lineRule="exact"/>
        <w:ind w:firstLine="2640" w:firstLineChars="600"/>
        <w:rPr>
          <w:rFonts w:ascii="宋体" w:hAnsi="宋体" w:cs="宋体"/>
          <w:color w:val="auto"/>
          <w:sz w:val="44"/>
          <w:szCs w:val="44"/>
          <w:highlight w:val="none"/>
        </w:rPr>
      </w:pPr>
    </w:p>
    <w:p w14:paraId="20F48C9C">
      <w:pPr>
        <w:spacing w:line="680" w:lineRule="exact"/>
        <w:jc w:val="center"/>
        <w:rPr>
          <w:rFonts w:ascii="宋体" w:hAnsi="宋体" w:cs="宋体"/>
          <w:color w:val="auto"/>
          <w:sz w:val="44"/>
          <w:szCs w:val="44"/>
          <w:highlight w:val="none"/>
        </w:rPr>
      </w:pPr>
    </w:p>
    <w:p w14:paraId="0B868029">
      <w:pPr>
        <w:spacing w:line="480" w:lineRule="exact"/>
        <w:ind w:firstLine="750" w:firstLineChars="250"/>
        <w:jc w:val="center"/>
        <w:rPr>
          <w:rFonts w:ascii="宋体" w:hAnsi="宋体" w:cs="宋体"/>
          <w:color w:val="auto"/>
          <w:sz w:val="30"/>
          <w:szCs w:val="30"/>
          <w:highlight w:val="none"/>
        </w:rPr>
      </w:pPr>
    </w:p>
    <w:p w14:paraId="4CB559DA">
      <w:pPr>
        <w:spacing w:line="480" w:lineRule="exact"/>
        <w:jc w:val="center"/>
        <w:rPr>
          <w:rFonts w:ascii="宋体" w:hAnsi="宋体" w:cs="宋体"/>
          <w:color w:val="auto"/>
          <w:sz w:val="36"/>
          <w:szCs w:val="36"/>
          <w:highlight w:val="none"/>
        </w:rPr>
      </w:pPr>
    </w:p>
    <w:p w14:paraId="12712F5F">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0096A9EC">
      <w:pPr>
        <w:jc w:val="center"/>
        <w:rPr>
          <w:rFonts w:ascii="宋体" w:hAnsi="宋体" w:cs="宋体"/>
          <w:color w:val="auto"/>
          <w:sz w:val="36"/>
          <w:szCs w:val="36"/>
          <w:highlight w:val="none"/>
        </w:rPr>
      </w:pPr>
    </w:p>
    <w:p w14:paraId="6767846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七</w:t>
      </w:r>
      <w:r>
        <w:rPr>
          <w:rFonts w:hint="eastAsia" w:ascii="宋体" w:hAnsi="宋体" w:cs="宋体"/>
          <w:color w:val="auto"/>
          <w:w w:val="90"/>
          <w:sz w:val="44"/>
          <w:szCs w:val="44"/>
          <w:highlight w:val="none"/>
        </w:rPr>
        <w:t>月</w:t>
      </w:r>
    </w:p>
    <w:p w14:paraId="6573BE82">
      <w:pPr>
        <w:spacing w:before="100" w:after="240" w:line="500" w:lineRule="exact"/>
        <w:jc w:val="center"/>
        <w:rPr>
          <w:rFonts w:ascii="宋体" w:hAnsi="宋体" w:cs="宋体"/>
          <w:b/>
          <w:color w:val="auto"/>
          <w:sz w:val="44"/>
          <w:szCs w:val="44"/>
          <w:highlight w:val="none"/>
        </w:rPr>
      </w:pPr>
    </w:p>
    <w:p w14:paraId="2A272FF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25C1A818">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常州市公安局警校关于模拟街区改造</w:t>
      </w:r>
      <w:r>
        <w:rPr>
          <w:rFonts w:hint="eastAsia" w:ascii="黑体" w:hAnsi="黑体" w:eastAsia="黑体" w:cs="宋体"/>
          <w:b/>
          <w:color w:val="auto"/>
          <w:kern w:val="0"/>
          <w:sz w:val="44"/>
          <w:szCs w:val="44"/>
          <w:highlight w:val="none"/>
          <w:lang w:val="en-US" w:eastAsia="zh-CN"/>
        </w:rPr>
        <w:t>项目</w:t>
      </w:r>
      <w:r>
        <w:rPr>
          <w:rFonts w:hint="eastAsia" w:ascii="黑体" w:hAnsi="黑体" w:eastAsia="黑体" w:cs="宋体"/>
          <w:b/>
          <w:color w:val="auto"/>
          <w:kern w:val="0"/>
          <w:sz w:val="44"/>
          <w:szCs w:val="44"/>
          <w:highlight w:val="none"/>
        </w:rPr>
        <w:t>询价公告</w:t>
      </w:r>
    </w:p>
    <w:p w14:paraId="75DE799F">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2589E35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常州市公安局警校关于模拟街区改造</w:t>
      </w:r>
      <w:r>
        <w:rPr>
          <w:rFonts w:hint="eastAsia" w:ascii="仿宋" w:hAnsi="仿宋" w:eastAsia="仿宋"/>
          <w:color w:val="auto"/>
          <w:sz w:val="32"/>
          <w:szCs w:val="32"/>
          <w:highlight w:val="none"/>
        </w:rPr>
        <w:t>项目的潜在供应商应在常州市城投建设工程招标有限公司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w:t>
      </w:r>
      <w:r>
        <w:rPr>
          <w:rFonts w:hint="eastAsia" w:ascii="仿宋" w:hAnsi="仿宋" w:eastAsia="仿宋"/>
          <w:color w:val="auto"/>
          <w:sz w:val="32"/>
          <w:szCs w:val="32"/>
          <w:highlight w:val="none"/>
        </w:rPr>
        <w:t>（北京时间）前提交响应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6E8DA0F3">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107CFD89">
      <w:pPr>
        <w:snapToGrid w:val="0"/>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lang w:eastAsia="zh-CN"/>
        </w:rPr>
        <w:t>CT-SX-2025074</w:t>
      </w:r>
    </w:p>
    <w:p w14:paraId="58797798">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项目名称：警校关于模拟街区改造项目</w:t>
      </w:r>
    </w:p>
    <w:p w14:paraId="4BD520C9">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0DA7A50B">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4.预算金额：人民币18968</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w:t>
      </w:r>
    </w:p>
    <w:p w14:paraId="3FDDAF7E">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5.最高限价：人民币18968</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w:t>
      </w:r>
    </w:p>
    <w:p w14:paraId="65DB392A">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6.采购需求：</w:t>
      </w:r>
      <w:r>
        <w:rPr>
          <w:rFonts w:hint="eastAsia" w:ascii="仿宋" w:hAnsi="仿宋" w:eastAsia="仿宋"/>
          <w:color w:val="auto"/>
          <w:spacing w:val="2"/>
          <w:sz w:val="32"/>
          <w:szCs w:val="32"/>
          <w:highlight w:val="none"/>
        </w:rPr>
        <w:t>为进一步拓展警校模拟街区使用功能，打造一个能移动、多变化、可观摩的模拟警情训练场景，最大程度还原警情原貌，提升训练多样化、时效性和安全性，现对模拟街区进行改造。</w:t>
      </w:r>
    </w:p>
    <w:p w14:paraId="6E18E659">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合同履行期限：合同签订后40天内完成项目建设。质保期为验收合格后两年。施工方案需经采购方审核后方可进行施工</w:t>
      </w:r>
      <w:r>
        <w:rPr>
          <w:rFonts w:hint="eastAsia" w:ascii="仿宋" w:hAnsi="仿宋" w:eastAsia="仿宋"/>
          <w:color w:val="auto"/>
          <w:sz w:val="32"/>
          <w:szCs w:val="32"/>
          <w:highlight w:val="none"/>
          <w:lang w:eastAsia="zh-CN"/>
        </w:rPr>
        <w:t>。</w:t>
      </w:r>
    </w:p>
    <w:p w14:paraId="7E36589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8.本项目</w:t>
      </w:r>
      <w:r>
        <w:rPr>
          <w:rFonts w:hint="eastAsia" w:ascii="仿宋" w:hAnsi="仿宋" w:eastAsia="仿宋"/>
          <w:color w:val="auto"/>
          <w:sz w:val="32"/>
          <w:szCs w:val="32"/>
          <w:highlight w:val="none"/>
        </w:rPr>
        <w:t>不</w:t>
      </w:r>
      <w:r>
        <w:rPr>
          <w:rFonts w:hint="eastAsia" w:ascii="仿宋" w:hAnsi="仿宋" w:eastAsia="仿宋"/>
          <w:color w:val="auto"/>
          <w:sz w:val="32"/>
          <w:szCs w:val="32"/>
          <w:highlight w:val="none"/>
        </w:rPr>
        <w:t>接受联合体。</w:t>
      </w:r>
    </w:p>
    <w:p w14:paraId="57177E2E">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0BBBEB6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rPr>
        <w:t>在中华人民共和国境内注册，</w:t>
      </w:r>
      <w:r>
        <w:rPr>
          <w:rFonts w:hint="eastAsia" w:ascii="仿宋" w:hAnsi="仿宋" w:eastAsia="仿宋" w:cs="宋体"/>
          <w:color w:val="auto"/>
          <w:sz w:val="32"/>
          <w:szCs w:val="32"/>
          <w:highlight w:val="none"/>
        </w:rPr>
        <w:t xml:space="preserve">具有独立承担民事责任的能力； </w:t>
      </w:r>
    </w:p>
    <w:p w14:paraId="03CBE99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3269100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1C635E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7654A97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128632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4949EEB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631CA50E">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407AC387">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lang w:val="en-US" w:eastAsia="zh-CN"/>
        </w:rPr>
        <w:t>9.</w:t>
      </w:r>
      <w:r>
        <w:rPr>
          <w:rFonts w:hint="eastAsia" w:ascii="仿宋" w:hAnsi="仿宋" w:eastAsia="仿宋" w:cs="宋体"/>
          <w:color w:val="auto"/>
          <w:sz w:val="32"/>
          <w:szCs w:val="32"/>
          <w:highlight w:val="none"/>
          <w:lang w:eastAsia="zh-CN"/>
        </w:rPr>
        <w:t>拟投入本项目的项目经理须具备建筑工程专业注册二级建造师及以上</w:t>
      </w:r>
      <w:r>
        <w:rPr>
          <w:rFonts w:hint="eastAsia" w:ascii="仿宋" w:hAnsi="仿宋" w:eastAsia="仿宋" w:cs="宋体"/>
          <w:color w:val="auto"/>
          <w:sz w:val="32"/>
          <w:szCs w:val="32"/>
          <w:highlight w:val="none"/>
          <w:lang w:val="en-US" w:eastAsia="zh-CN"/>
        </w:rPr>
        <w:t>资质</w:t>
      </w:r>
      <w:r>
        <w:rPr>
          <w:rFonts w:hint="eastAsia" w:ascii="仿宋" w:hAnsi="仿宋" w:eastAsia="仿宋" w:cs="宋体"/>
          <w:color w:val="auto"/>
          <w:sz w:val="32"/>
          <w:szCs w:val="32"/>
          <w:highlight w:val="none"/>
          <w:lang w:eastAsia="zh-CN"/>
        </w:rPr>
        <w:t>和《建筑施工企业项目负责人安全生产考核合格证书》(B证)(须提供本单位为其缴纳的最近一期社保证明);</w:t>
      </w:r>
    </w:p>
    <w:p w14:paraId="644F2A09">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lang w:val="en-US" w:eastAsia="zh-CN"/>
        </w:rPr>
        <w:t>10</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供应商</w:t>
      </w:r>
      <w:r>
        <w:rPr>
          <w:rFonts w:hint="eastAsia" w:ascii="仿宋" w:hAnsi="仿宋" w:eastAsia="仿宋" w:cs="宋体"/>
          <w:color w:val="auto"/>
          <w:sz w:val="32"/>
          <w:szCs w:val="32"/>
          <w:highlight w:val="none"/>
          <w:lang w:eastAsia="zh-CN"/>
        </w:rPr>
        <w:t>具备有效的《安全生产许可证》。</w:t>
      </w:r>
    </w:p>
    <w:p w14:paraId="7B9B1E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0653D4B6">
      <w:pPr>
        <w:spacing w:line="600" w:lineRule="exact"/>
        <w:ind w:firstLine="640" w:firstLineChars="200"/>
        <w:rPr>
          <w:rFonts w:hint="eastAsia" w:ascii="仿宋" w:hAnsi="仿宋" w:eastAsia="仿宋" w:cs="宋体"/>
          <w:bCs/>
          <w:color w:val="auto"/>
          <w:kern w:val="0"/>
          <w:sz w:val="32"/>
          <w:szCs w:val="32"/>
          <w:highlight w:val="none"/>
          <w:lang w:eastAsia="zh-CN"/>
        </w:rPr>
      </w:pPr>
      <w:r>
        <w:rPr>
          <w:rFonts w:hint="eastAsia" w:ascii="仿宋" w:hAnsi="仿宋" w:eastAsia="仿宋" w:cs="宋体"/>
          <w:color w:val="auto"/>
          <w:sz w:val="32"/>
          <w:szCs w:val="32"/>
          <w:highlight w:val="none"/>
        </w:rPr>
        <w:t>1.时间：</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lang w:val="en-US" w:eastAsia="zh-CN"/>
        </w:rPr>
        <w:t>25</w:t>
      </w:r>
      <w:r>
        <w:rPr>
          <w:rFonts w:hint="eastAsia" w:ascii="仿宋" w:hAnsi="仿宋" w:eastAsia="仿宋" w:cs="宋体"/>
          <w:bCs/>
          <w:color w:val="auto"/>
          <w:kern w:val="0"/>
          <w:sz w:val="32"/>
          <w:szCs w:val="32"/>
          <w:highlight w:val="none"/>
        </w:rPr>
        <w:t>年</w:t>
      </w:r>
      <w:r>
        <w:rPr>
          <w:rFonts w:hint="eastAsia" w:ascii="仿宋" w:hAnsi="仿宋" w:eastAsia="仿宋" w:cs="宋体"/>
          <w:bCs/>
          <w:color w:val="auto"/>
          <w:kern w:val="0"/>
          <w:sz w:val="32"/>
          <w:szCs w:val="32"/>
          <w:highlight w:val="none"/>
          <w:lang w:val="en-US" w:eastAsia="zh-CN"/>
        </w:rPr>
        <w:t>07</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30</w:t>
      </w:r>
      <w:r>
        <w:rPr>
          <w:rFonts w:hint="eastAsia" w:ascii="仿宋" w:hAnsi="仿宋" w:eastAsia="仿宋" w:cs="宋体"/>
          <w:bCs/>
          <w:color w:val="auto"/>
          <w:kern w:val="0"/>
          <w:sz w:val="32"/>
          <w:szCs w:val="32"/>
          <w:highlight w:val="none"/>
        </w:rPr>
        <w:t>日</w:t>
      </w:r>
      <w:r>
        <w:rPr>
          <w:rFonts w:hint="eastAsia" w:ascii="仿宋" w:hAnsi="仿宋" w:eastAsia="仿宋" w:cs="宋体"/>
          <w:bCs/>
          <w:color w:val="auto"/>
          <w:kern w:val="0"/>
          <w:sz w:val="32"/>
          <w:szCs w:val="32"/>
          <w:highlight w:val="none"/>
          <w:lang w:val="en-US" w:eastAsia="zh-CN"/>
        </w:rPr>
        <w:t>起</w:t>
      </w:r>
      <w:bookmarkStart w:id="0" w:name="_GoBack"/>
      <w:bookmarkEnd w:id="0"/>
    </w:p>
    <w:p w14:paraId="60808ED1">
      <w:pPr>
        <w:spacing w:line="600" w:lineRule="exact"/>
        <w:ind w:firstLine="640" w:firstLineChars="200"/>
        <w:rPr>
          <w:rFonts w:hint="eastAsia" w:ascii="仿宋" w:hAnsi="仿宋" w:eastAsia="仿宋" w:cs="宋体"/>
          <w:color w:val="auto"/>
          <w:sz w:val="32"/>
          <w:szCs w:val="32"/>
          <w:highlight w:val="none"/>
          <w:lang w:eastAsia="zh-CN"/>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地点：常州市城投建设工程招标有限公司</w:t>
      </w:r>
      <w:r>
        <w:rPr>
          <w:rFonts w:hint="eastAsia" w:ascii="仿宋" w:hAnsi="仿宋" w:eastAsia="仿宋" w:cs="宋体"/>
          <w:color w:val="auto"/>
          <w:sz w:val="32"/>
          <w:szCs w:val="32"/>
          <w:highlight w:val="none"/>
          <w:lang w:eastAsia="zh-CN"/>
        </w:rPr>
        <w:t>网站</w:t>
      </w:r>
    </w:p>
    <w:p w14:paraId="31382B8C">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00B0F0"/>
          <w:sz w:val="32"/>
          <w:szCs w:val="32"/>
          <w:highlight w:val="none"/>
        </w:rPr>
        <w:t>3.方式：</w:t>
      </w:r>
      <w:r>
        <w:rPr>
          <w:rFonts w:hint="eastAsia" w:ascii="仿宋" w:hAnsi="仿宋" w:eastAsia="仿宋" w:cs="宋体"/>
          <w:color w:val="00B0F0"/>
          <w:sz w:val="32"/>
          <w:szCs w:val="32"/>
          <w:highlight w:val="none"/>
          <w:lang w:eastAsia="zh-CN"/>
        </w:rPr>
        <w:t>直接下载，链接如下：</w:t>
      </w:r>
      <w:r>
        <w:rPr>
          <w:rFonts w:hint="eastAsia" w:ascii="仿宋" w:hAnsi="仿宋" w:eastAsia="仿宋" w:cs="宋体"/>
          <w:bCs/>
          <w:color w:val="auto"/>
          <w:sz w:val="32"/>
          <w:szCs w:val="32"/>
          <w:highlight w:val="none"/>
        </w:rPr>
        <w:t xml:space="preserve"> </w:t>
      </w:r>
    </w:p>
    <w:p w14:paraId="6F43CAA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四、响应文件提交</w:t>
      </w:r>
    </w:p>
    <w:p w14:paraId="2769B15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4C118CF4">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F1EA51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06B3CE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4B3F619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4D8F4BFF">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22C0A2D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5A001E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5C711449">
      <w:pPr>
        <w:spacing w:line="60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1.</w:t>
      </w:r>
      <w:r>
        <w:rPr>
          <w:rFonts w:hint="eastAsia" w:ascii="仿宋" w:hAnsi="仿宋" w:eastAsia="仿宋"/>
          <w:bCs/>
          <w:color w:val="auto"/>
          <w:sz w:val="32"/>
          <w:szCs w:val="32"/>
          <w:highlight w:val="none"/>
        </w:rPr>
        <w:t>本项目不组织现场踏勘，供应商自行踏勘现场。</w:t>
      </w:r>
    </w:p>
    <w:p w14:paraId="544795F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30"/>
          <w:rFonts w:hint="eastAsia" w:ascii="仿宋" w:hAnsi="仿宋" w:eastAsia="仿宋"/>
          <w:color w:val="auto"/>
          <w:sz w:val="32"/>
          <w:szCs w:val="32"/>
          <w:highlight w:val="none"/>
        </w:rPr>
        <w:t>czctzb@163.com</w:t>
      </w:r>
      <w:r>
        <w:rPr>
          <w:rStyle w:val="30"/>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457F529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八、凡对本次采购提出询问，请按以下方式联系。</w:t>
      </w:r>
    </w:p>
    <w:p w14:paraId="3AD7A83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07BEC20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称：常州市公安局　　　　　　　　　　　　</w:t>
      </w:r>
    </w:p>
    <w:p w14:paraId="579BBE8B">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地    址：常州市新北区龙锦路1588号</w:t>
      </w:r>
    </w:p>
    <w:p w14:paraId="62EEA9D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联系方式：邵俊</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0519-81993183　　　　　</w:t>
      </w:r>
      <w:r>
        <w:rPr>
          <w:rFonts w:hint="eastAsia" w:ascii="仿宋" w:hAnsi="仿宋" w:eastAsia="仿宋"/>
          <w:color w:val="auto"/>
          <w:sz w:val="32"/>
          <w:szCs w:val="32"/>
          <w:highlight w:val="none"/>
        </w:rPr>
        <w:t xml:space="preserve">　 　　　 </w:t>
      </w:r>
    </w:p>
    <w:p w14:paraId="47B91BA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115E743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390184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60E5657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24390E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56F0AFC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丁洁</w:t>
      </w:r>
    </w:p>
    <w:p w14:paraId="5A0C2C65">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6031</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2B21293C">
      <w:pPr>
        <w:pStyle w:val="5"/>
        <w:rPr>
          <w:color w:val="auto"/>
          <w:highlight w:val="none"/>
        </w:rPr>
      </w:pPr>
    </w:p>
    <w:p w14:paraId="2FD60F63">
      <w:pPr>
        <w:rPr>
          <w:color w:val="auto"/>
          <w:highlight w:val="none"/>
        </w:rPr>
      </w:pPr>
    </w:p>
    <w:p w14:paraId="1AB6EE86">
      <w:pPr>
        <w:rPr>
          <w:color w:val="auto"/>
          <w:highlight w:val="none"/>
        </w:rPr>
      </w:pPr>
    </w:p>
    <w:p w14:paraId="4BFE8059">
      <w:pPr>
        <w:rPr>
          <w:color w:val="auto"/>
          <w:highlight w:val="none"/>
        </w:rPr>
      </w:pPr>
    </w:p>
    <w:p w14:paraId="6D7F460B">
      <w:pPr>
        <w:rPr>
          <w:color w:val="auto"/>
          <w:highlight w:val="none"/>
        </w:rPr>
      </w:pPr>
    </w:p>
    <w:p w14:paraId="7FD1320D">
      <w:pPr>
        <w:rPr>
          <w:color w:val="auto"/>
          <w:highlight w:val="none"/>
        </w:rPr>
      </w:pPr>
    </w:p>
    <w:p w14:paraId="5049EDC7">
      <w:pPr>
        <w:rPr>
          <w:color w:val="auto"/>
          <w:highlight w:val="none"/>
        </w:rPr>
      </w:pPr>
    </w:p>
    <w:p w14:paraId="7570E4D9">
      <w:pPr>
        <w:rPr>
          <w:color w:val="auto"/>
          <w:highlight w:val="none"/>
        </w:rPr>
      </w:pPr>
    </w:p>
    <w:p w14:paraId="4FF2ACBA">
      <w:pPr>
        <w:rPr>
          <w:color w:val="auto"/>
          <w:highlight w:val="none"/>
        </w:rPr>
      </w:pPr>
    </w:p>
    <w:p w14:paraId="4A9AA442">
      <w:pPr>
        <w:pStyle w:val="11"/>
        <w:spacing w:line="340" w:lineRule="exact"/>
        <w:rPr>
          <w:b/>
          <w:bCs/>
          <w:color w:val="auto"/>
          <w:highlight w:val="none"/>
        </w:rPr>
      </w:pPr>
    </w:p>
    <w:p w14:paraId="620FE66F">
      <w:pPr>
        <w:pStyle w:val="11"/>
        <w:spacing w:line="340" w:lineRule="exact"/>
        <w:jc w:val="center"/>
        <w:rPr>
          <w:b/>
          <w:bCs/>
          <w:color w:val="auto"/>
          <w:highlight w:val="none"/>
        </w:rPr>
      </w:pPr>
      <w:r>
        <w:rPr>
          <w:b/>
          <w:bCs/>
          <w:color w:val="auto"/>
          <w:highlight w:val="none"/>
        </w:rPr>
        <w:br w:type="page"/>
      </w:r>
    </w:p>
    <w:p w14:paraId="367518CA">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常州市公安局警校关于模拟街区改造</w:t>
      </w:r>
      <w:r>
        <w:rPr>
          <w:rFonts w:hint="eastAsia" w:ascii="黑体" w:hAnsi="黑体" w:eastAsia="黑体" w:cs="宋体"/>
          <w:b/>
          <w:color w:val="auto"/>
          <w:kern w:val="0"/>
          <w:sz w:val="44"/>
          <w:szCs w:val="44"/>
          <w:highlight w:val="none"/>
          <w:lang w:val="en-US" w:eastAsia="zh-CN"/>
        </w:rPr>
        <w:t>项目</w:t>
      </w:r>
      <w:r>
        <w:rPr>
          <w:rFonts w:hint="eastAsia" w:ascii="黑体" w:hAnsi="黑体" w:eastAsia="黑体" w:cs="宋体"/>
          <w:b/>
          <w:color w:val="auto"/>
          <w:kern w:val="0"/>
          <w:sz w:val="44"/>
          <w:szCs w:val="44"/>
          <w:highlight w:val="none"/>
        </w:rPr>
        <w:t>询价通知书</w:t>
      </w:r>
    </w:p>
    <w:p w14:paraId="5E3698E0">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一</w:t>
      </w:r>
      <w:r>
        <w:rPr>
          <w:rFonts w:hint="eastAsia" w:ascii="宋体" w:hAnsi="宋体" w:cs="宋体"/>
          <w:b/>
          <w:color w:val="auto"/>
          <w:kern w:val="0"/>
          <w:szCs w:val="21"/>
          <w:highlight w:val="none"/>
        </w:rPr>
        <w:t>、</w:t>
      </w:r>
      <w:r>
        <w:rPr>
          <w:rFonts w:ascii="宋体" w:hAnsi="宋体" w:cs="宋体"/>
          <w:b/>
          <w:color w:val="auto"/>
          <w:kern w:val="0"/>
          <w:szCs w:val="21"/>
          <w:highlight w:val="none"/>
        </w:rPr>
        <w:t>采购内容及要求</w:t>
      </w:r>
    </w:p>
    <w:p w14:paraId="2766E44D">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（一）采购清单</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58"/>
        <w:gridCol w:w="708"/>
        <w:gridCol w:w="4395"/>
        <w:gridCol w:w="1251"/>
        <w:gridCol w:w="733"/>
      </w:tblGrid>
      <w:tr w14:paraId="13F2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10" w:type="dxa"/>
            <w:vAlign w:val="center"/>
          </w:tcPr>
          <w:p w14:paraId="36373F6E">
            <w:pPr>
              <w:pStyle w:val="17"/>
              <w:tabs>
                <w:tab w:val="clear" w:pos="9345"/>
              </w:tabs>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158" w:type="dxa"/>
            <w:vAlign w:val="center"/>
          </w:tcPr>
          <w:p w14:paraId="008934AF">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名称</w:t>
            </w:r>
          </w:p>
        </w:tc>
        <w:tc>
          <w:tcPr>
            <w:tcW w:w="708" w:type="dxa"/>
            <w:vAlign w:val="center"/>
          </w:tcPr>
          <w:p w14:paraId="2AB6C942">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单位</w:t>
            </w:r>
          </w:p>
        </w:tc>
        <w:tc>
          <w:tcPr>
            <w:tcW w:w="4395" w:type="dxa"/>
            <w:vAlign w:val="center"/>
          </w:tcPr>
          <w:p w14:paraId="4153BED9">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技术参数</w:t>
            </w:r>
          </w:p>
        </w:tc>
        <w:tc>
          <w:tcPr>
            <w:tcW w:w="1251" w:type="dxa"/>
            <w:vAlign w:val="center"/>
          </w:tcPr>
          <w:p w14:paraId="44CD4FF4">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图片</w:t>
            </w:r>
          </w:p>
        </w:tc>
        <w:tc>
          <w:tcPr>
            <w:tcW w:w="733" w:type="dxa"/>
            <w:vAlign w:val="center"/>
          </w:tcPr>
          <w:p w14:paraId="13811FF5">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r>
      <w:tr w14:paraId="05E4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4F35A04B">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158" w:type="dxa"/>
            <w:vAlign w:val="center"/>
          </w:tcPr>
          <w:p w14:paraId="575333CA">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A单元组件</w:t>
            </w:r>
          </w:p>
        </w:tc>
        <w:tc>
          <w:tcPr>
            <w:tcW w:w="708" w:type="dxa"/>
            <w:vAlign w:val="center"/>
          </w:tcPr>
          <w:p w14:paraId="2DF69E5B">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件</w:t>
            </w:r>
          </w:p>
        </w:tc>
        <w:tc>
          <w:tcPr>
            <w:tcW w:w="4395" w:type="dxa"/>
          </w:tcPr>
          <w:p w14:paraId="6925D7F5">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1.结构框架采用优质碳钢管焊接而成，结构强度高，可靠性强；</w:t>
            </w:r>
          </w:p>
          <w:p w14:paraId="6BDAB61B">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2.每块板墙外板由上下两块可拆卸板块组成，并支持灵活拆卸，实现多功能组合更换，门板可以实现快速插接安装，安装更便捷；可根据实际训练及场景要求，灵活更换透明板、铁网板、射击观察口板等。</w:t>
            </w:r>
          </w:p>
          <w:p w14:paraId="40891D6C">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3.每块门板配2个不锈钢拉手，方便安装搬运；</w:t>
            </w:r>
          </w:p>
          <w:p w14:paraId="673A9C90">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4.每块门板连接处采用插接式双向插接卡位，可单独拆卸，任意安装；</w:t>
            </w:r>
          </w:p>
          <w:p w14:paraId="4E952278">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5.框架整体焊接后，表面喷涂颜色做防锈处理；</w:t>
            </w:r>
          </w:p>
          <w:p w14:paraId="4A582D7C">
            <w:pPr>
              <w:rPr>
                <w:color w:val="auto"/>
                <w:highlight w:val="none"/>
              </w:rPr>
            </w:pPr>
            <w:r>
              <w:rPr>
                <w:rFonts w:hint="eastAsia" w:ascii="宋体" w:hAnsi="宋体" w:cs="宋体"/>
                <w:color w:val="auto"/>
                <w:sz w:val="18"/>
                <w:szCs w:val="18"/>
                <w:highlight w:val="none"/>
              </w:rPr>
              <w:t>6.尺寸规格：约2M*1M</w:t>
            </w:r>
          </w:p>
        </w:tc>
        <w:tc>
          <w:tcPr>
            <w:tcW w:w="1251" w:type="dxa"/>
            <w:vAlign w:val="center"/>
          </w:tcPr>
          <w:p w14:paraId="33D5CA5C">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540385" cy="1004570"/>
                  <wp:effectExtent l="0" t="0" r="1206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0385" cy="1004570"/>
                          </a:xfrm>
                          <a:prstGeom prst="rect">
                            <a:avLst/>
                          </a:prstGeom>
                          <a:noFill/>
                          <a:ln>
                            <a:noFill/>
                          </a:ln>
                        </pic:spPr>
                      </pic:pic>
                    </a:graphicData>
                  </a:graphic>
                </wp:inline>
              </w:drawing>
            </w:r>
          </w:p>
        </w:tc>
        <w:tc>
          <w:tcPr>
            <w:tcW w:w="733" w:type="dxa"/>
            <w:vAlign w:val="center"/>
          </w:tcPr>
          <w:p w14:paraId="2BC0FCDF">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83</w:t>
            </w:r>
          </w:p>
        </w:tc>
      </w:tr>
      <w:tr w14:paraId="7DB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2D895612">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158" w:type="dxa"/>
            <w:vAlign w:val="center"/>
          </w:tcPr>
          <w:p w14:paraId="08B7C284">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B单元组件</w:t>
            </w:r>
          </w:p>
        </w:tc>
        <w:tc>
          <w:tcPr>
            <w:tcW w:w="708" w:type="dxa"/>
            <w:vAlign w:val="center"/>
          </w:tcPr>
          <w:p w14:paraId="0CADEA7E">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件</w:t>
            </w:r>
          </w:p>
        </w:tc>
        <w:tc>
          <w:tcPr>
            <w:tcW w:w="4395" w:type="dxa"/>
            <w:vAlign w:val="center"/>
          </w:tcPr>
          <w:p w14:paraId="0709A185">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1.结构框架采用优质碳钢管焊接而成，结构强度高，可靠性强；</w:t>
            </w:r>
          </w:p>
          <w:p w14:paraId="17861235">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2.带窗的板墙由两扇可以开启窗和固定门板组成，窗可以实现内外双向开启，最大开启角度0-180°，方向可调，实现对称互换性，安装便捷，维修更换方便；</w:t>
            </w:r>
          </w:p>
          <w:p w14:paraId="0D753926">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3.门板和窗分别采用4mm铝塑板和4mm有机玻璃板组合，更换及安装方便快捷；</w:t>
            </w:r>
          </w:p>
          <w:p w14:paraId="651E1BA1">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4.每块门板配2个不锈钢拉手，方便安装搬运；</w:t>
            </w:r>
          </w:p>
          <w:p w14:paraId="4F16CB80">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5.每块门板连接处采用插接式双向插接卡位，可单独拆卸，任意安装；</w:t>
            </w:r>
          </w:p>
          <w:p w14:paraId="3889C970">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6.框架整体焊接后，表面喷涂颜色做防锈处理；</w:t>
            </w:r>
          </w:p>
          <w:p w14:paraId="1901A2A9">
            <w:pPr>
              <w:rPr>
                <w:color w:val="auto"/>
                <w:highlight w:val="none"/>
              </w:rPr>
            </w:pPr>
            <w:r>
              <w:rPr>
                <w:rFonts w:hint="eastAsia" w:ascii="宋体" w:hAnsi="宋体" w:cs="宋体"/>
                <w:color w:val="auto"/>
                <w:sz w:val="18"/>
                <w:szCs w:val="18"/>
                <w:highlight w:val="none"/>
              </w:rPr>
              <w:t>7.尺寸规格：2M*1M</w:t>
            </w:r>
          </w:p>
        </w:tc>
        <w:tc>
          <w:tcPr>
            <w:tcW w:w="1251" w:type="dxa"/>
            <w:vAlign w:val="center"/>
          </w:tcPr>
          <w:p w14:paraId="6EC9E01E">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671830" cy="1274445"/>
                  <wp:effectExtent l="0" t="0" r="1397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71830" cy="1274445"/>
                          </a:xfrm>
                          <a:prstGeom prst="rect">
                            <a:avLst/>
                          </a:prstGeom>
                          <a:noFill/>
                          <a:ln>
                            <a:noFill/>
                          </a:ln>
                        </pic:spPr>
                      </pic:pic>
                    </a:graphicData>
                  </a:graphic>
                </wp:inline>
              </w:drawing>
            </w:r>
          </w:p>
        </w:tc>
        <w:tc>
          <w:tcPr>
            <w:tcW w:w="733" w:type="dxa"/>
            <w:vAlign w:val="center"/>
          </w:tcPr>
          <w:p w14:paraId="51A7DDFA">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r>
      <w:tr w14:paraId="481B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51F84A64">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158" w:type="dxa"/>
            <w:vAlign w:val="center"/>
          </w:tcPr>
          <w:p w14:paraId="3D4AAC7B">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C单元组件</w:t>
            </w:r>
          </w:p>
        </w:tc>
        <w:tc>
          <w:tcPr>
            <w:tcW w:w="708" w:type="dxa"/>
            <w:vAlign w:val="center"/>
          </w:tcPr>
          <w:p w14:paraId="74C7AF77">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件</w:t>
            </w:r>
          </w:p>
        </w:tc>
        <w:tc>
          <w:tcPr>
            <w:tcW w:w="4395" w:type="dxa"/>
          </w:tcPr>
          <w:p w14:paraId="2BA35EB2">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1.结构框架采用优质碳钢管焊接而成，结构强度高，可靠性强；</w:t>
            </w:r>
          </w:p>
          <w:p w14:paraId="35748CE2">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2.带门的板墙可以实现内外双向开启，方向可调，实现对称互换性，安装便捷，维修更换方便；</w:t>
            </w:r>
          </w:p>
          <w:p w14:paraId="534D991C">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3.门板和窗采用4mm有机玻璃和4mm铝塑板组合，最大开启角度0-180°，可以实现透明效果和不透明组合更换，安装更换便捷；</w:t>
            </w:r>
          </w:p>
          <w:p w14:paraId="62F7AD4C">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4.门板配有可调节旋转限位板；</w:t>
            </w:r>
          </w:p>
          <w:p w14:paraId="52C02C8D">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5.每块门板连接处采用插接式双向插接卡位，可单独拆卸，任意安装；</w:t>
            </w:r>
          </w:p>
          <w:p w14:paraId="317A054D">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6.门板底部撞击位置，设有撞击标识，破门而入时撞击可靠位置；</w:t>
            </w:r>
          </w:p>
          <w:p w14:paraId="312A19EA">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7.框架整体焊接后，表面喷涂颜色做防锈处理；</w:t>
            </w:r>
          </w:p>
          <w:p w14:paraId="3730EFAA">
            <w:pPr>
              <w:rPr>
                <w:color w:val="auto"/>
                <w:highlight w:val="none"/>
              </w:rPr>
            </w:pPr>
            <w:r>
              <w:rPr>
                <w:rFonts w:hint="eastAsia" w:ascii="宋体" w:hAnsi="宋体" w:cs="宋体"/>
                <w:color w:val="auto"/>
                <w:sz w:val="18"/>
                <w:szCs w:val="18"/>
                <w:highlight w:val="none"/>
              </w:rPr>
              <w:t>8.尺寸规格：2M*1M</w:t>
            </w:r>
          </w:p>
        </w:tc>
        <w:tc>
          <w:tcPr>
            <w:tcW w:w="1251" w:type="dxa"/>
            <w:vAlign w:val="center"/>
          </w:tcPr>
          <w:p w14:paraId="6B671570">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671830" cy="1198245"/>
                  <wp:effectExtent l="0" t="0" r="1397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71830" cy="1198245"/>
                          </a:xfrm>
                          <a:prstGeom prst="rect">
                            <a:avLst/>
                          </a:prstGeom>
                          <a:noFill/>
                          <a:ln>
                            <a:noFill/>
                          </a:ln>
                        </pic:spPr>
                      </pic:pic>
                    </a:graphicData>
                  </a:graphic>
                </wp:inline>
              </w:drawing>
            </w:r>
          </w:p>
        </w:tc>
        <w:tc>
          <w:tcPr>
            <w:tcW w:w="733" w:type="dxa"/>
            <w:vAlign w:val="center"/>
          </w:tcPr>
          <w:p w14:paraId="6CAE4ADE">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r>
      <w:tr w14:paraId="2CB2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4F4CCD0A">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158" w:type="dxa"/>
            <w:vAlign w:val="center"/>
          </w:tcPr>
          <w:p w14:paraId="5062CB47">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90°单元组件</w:t>
            </w:r>
          </w:p>
        </w:tc>
        <w:tc>
          <w:tcPr>
            <w:tcW w:w="708" w:type="dxa"/>
            <w:vAlign w:val="center"/>
          </w:tcPr>
          <w:p w14:paraId="791D4A0A">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件</w:t>
            </w:r>
          </w:p>
        </w:tc>
        <w:tc>
          <w:tcPr>
            <w:tcW w:w="4395" w:type="dxa"/>
          </w:tcPr>
          <w:p w14:paraId="73AE6D5F">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1.结构框架采用优质碳钢管焊接而成，结构强度高，可靠性强；</w:t>
            </w:r>
          </w:p>
          <w:p w14:paraId="05A6CC94">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2.每个立柱连接处采用挂钩式双向插接卡位，材料优质碳钢板；</w:t>
            </w:r>
          </w:p>
          <w:p w14:paraId="6B02EF01">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3.90°单元组件可以实现拐角两两插接固定衔接，上下方向可以调节，每块立柱可以实现单独拆卸，更换和变换布局更加灵活；</w:t>
            </w:r>
          </w:p>
          <w:p w14:paraId="6A97DDC4">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4.框架整体焊接后，表面喷涂颜色做防锈处理；</w:t>
            </w:r>
          </w:p>
        </w:tc>
        <w:tc>
          <w:tcPr>
            <w:tcW w:w="1251" w:type="dxa"/>
            <w:vAlign w:val="center"/>
          </w:tcPr>
          <w:p w14:paraId="5F239153">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187325" cy="810260"/>
                  <wp:effectExtent l="0" t="0" r="317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flipH="1">
                            <a:off x="0" y="0"/>
                            <a:ext cx="187325" cy="810260"/>
                          </a:xfrm>
                          <a:prstGeom prst="rect">
                            <a:avLst/>
                          </a:prstGeom>
                          <a:noFill/>
                          <a:ln>
                            <a:noFill/>
                          </a:ln>
                        </pic:spPr>
                      </pic:pic>
                    </a:graphicData>
                  </a:graphic>
                </wp:inline>
              </w:drawing>
            </w:r>
          </w:p>
        </w:tc>
        <w:tc>
          <w:tcPr>
            <w:tcW w:w="733" w:type="dxa"/>
            <w:vAlign w:val="center"/>
          </w:tcPr>
          <w:p w14:paraId="728B1748">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r>
      <w:tr w14:paraId="305B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52F927FE">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158" w:type="dxa"/>
            <w:vAlign w:val="center"/>
          </w:tcPr>
          <w:p w14:paraId="3B801B08">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180°单元组件</w:t>
            </w:r>
          </w:p>
        </w:tc>
        <w:tc>
          <w:tcPr>
            <w:tcW w:w="708" w:type="dxa"/>
            <w:vAlign w:val="center"/>
          </w:tcPr>
          <w:p w14:paraId="3C99E0FE">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件</w:t>
            </w:r>
          </w:p>
        </w:tc>
        <w:tc>
          <w:tcPr>
            <w:tcW w:w="4395" w:type="dxa"/>
          </w:tcPr>
          <w:p w14:paraId="76593701">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1.结构框架采用优质碳钢管焊接而成，结构强度高，可靠性强；</w:t>
            </w:r>
          </w:p>
          <w:p w14:paraId="57A00D2F">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2.每个立柱连接处采用挂钩式双向插接卡位，材料优质碳钢板；</w:t>
            </w:r>
          </w:p>
          <w:p w14:paraId="3226AC9A">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3.180°单元组件可以实现拐角3扇门板插接固定衔接，每块立柱可以实现单独拆卸，更换和变换布局更加灵活；</w:t>
            </w:r>
          </w:p>
          <w:p w14:paraId="10B85256">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4.框架整体焊接后，表面喷涂颜色做防锈处理；</w:t>
            </w:r>
          </w:p>
        </w:tc>
        <w:tc>
          <w:tcPr>
            <w:tcW w:w="1251" w:type="dxa"/>
            <w:vAlign w:val="center"/>
          </w:tcPr>
          <w:p w14:paraId="0A3B5E2D">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263525" cy="7620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63525" cy="762000"/>
                          </a:xfrm>
                          <a:prstGeom prst="rect">
                            <a:avLst/>
                          </a:prstGeom>
                          <a:noFill/>
                          <a:ln>
                            <a:noFill/>
                          </a:ln>
                        </pic:spPr>
                      </pic:pic>
                    </a:graphicData>
                  </a:graphic>
                </wp:inline>
              </w:drawing>
            </w:r>
          </w:p>
        </w:tc>
        <w:tc>
          <w:tcPr>
            <w:tcW w:w="733" w:type="dxa"/>
            <w:vAlign w:val="center"/>
          </w:tcPr>
          <w:p w14:paraId="229888EA">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r>
      <w:tr w14:paraId="5A2D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48D6BC87">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158" w:type="dxa"/>
            <w:vAlign w:val="center"/>
          </w:tcPr>
          <w:p w14:paraId="710B74F6">
            <w:pPr>
              <w:pStyle w:val="17"/>
              <w:jc w:val="center"/>
              <w:rPr>
                <w:rFonts w:ascii="宋体" w:hAnsi="宋体" w:cs="宋体"/>
                <w:color w:val="auto"/>
                <w:sz w:val="18"/>
                <w:szCs w:val="18"/>
                <w:highlight w:val="none"/>
              </w:rPr>
            </w:pPr>
            <w:r>
              <w:rPr>
                <w:rFonts w:hint="eastAsia"/>
                <w:color w:val="auto"/>
                <w:sz w:val="18"/>
                <w:szCs w:val="18"/>
                <w:highlight w:val="none"/>
              </w:rPr>
              <w:t>休息观摩棚</w:t>
            </w:r>
          </w:p>
        </w:tc>
        <w:tc>
          <w:tcPr>
            <w:tcW w:w="708" w:type="dxa"/>
            <w:vAlign w:val="center"/>
          </w:tcPr>
          <w:p w14:paraId="5F92ED1D">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4395" w:type="dxa"/>
            <w:vAlign w:val="center"/>
          </w:tcPr>
          <w:p w14:paraId="229F5305">
            <w:pPr>
              <w:pStyle w:val="17"/>
              <w:jc w:val="left"/>
              <w:rPr>
                <w:rFonts w:ascii="宋体" w:hAnsi="宋体" w:cs="宋体"/>
                <w:color w:val="auto"/>
                <w:sz w:val="18"/>
                <w:szCs w:val="18"/>
                <w:highlight w:val="none"/>
              </w:rPr>
            </w:pPr>
            <w:r>
              <w:rPr>
                <w:rFonts w:hint="eastAsia" w:ascii="宋体" w:hAnsi="宋体" w:cs="宋体"/>
                <w:color w:val="auto"/>
                <w:sz w:val="18"/>
                <w:szCs w:val="18"/>
                <w:highlight w:val="none"/>
              </w:rPr>
              <w:t>18m长、3m宽钢混结构，含基础安装和整体交付</w:t>
            </w:r>
          </w:p>
        </w:tc>
        <w:tc>
          <w:tcPr>
            <w:tcW w:w="1251" w:type="dxa"/>
            <w:vAlign w:val="center"/>
          </w:tcPr>
          <w:p w14:paraId="5540A65B">
            <w:pPr>
              <w:pStyle w:val="17"/>
              <w:jc w:val="center"/>
              <w:rPr>
                <w:rFonts w:ascii="宋体" w:hAnsi="宋体" w:cs="宋体"/>
                <w:color w:val="auto"/>
                <w:sz w:val="18"/>
                <w:szCs w:val="18"/>
                <w:highlight w:val="none"/>
              </w:rPr>
            </w:pPr>
            <w:r>
              <w:rPr>
                <w:rFonts w:ascii="宋体" w:hAnsi="宋体" w:cs="宋体"/>
                <w:color w:val="auto"/>
                <w:sz w:val="18"/>
                <w:szCs w:val="18"/>
                <w:highlight w:val="none"/>
              </w:rPr>
              <w:drawing>
                <wp:inline distT="0" distB="0" distL="0" distR="0">
                  <wp:extent cx="650875" cy="478155"/>
                  <wp:effectExtent l="0" t="0" r="1587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0875" cy="478155"/>
                          </a:xfrm>
                          <a:prstGeom prst="rect">
                            <a:avLst/>
                          </a:prstGeom>
                          <a:noFill/>
                          <a:ln>
                            <a:noFill/>
                          </a:ln>
                        </pic:spPr>
                      </pic:pic>
                    </a:graphicData>
                  </a:graphic>
                </wp:inline>
              </w:drawing>
            </w:r>
          </w:p>
        </w:tc>
        <w:tc>
          <w:tcPr>
            <w:tcW w:w="733" w:type="dxa"/>
            <w:vAlign w:val="center"/>
          </w:tcPr>
          <w:p w14:paraId="2C3ACC19">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14:paraId="55ED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2DC3F460">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158" w:type="dxa"/>
            <w:vAlign w:val="center"/>
          </w:tcPr>
          <w:p w14:paraId="5182E270">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2535BB2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4395" w:type="dxa"/>
            <w:vAlign w:val="center"/>
          </w:tcPr>
          <w:p w14:paraId="195A9B0C">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30mm厚干硬性水泥砂浆粘结层;800*800地砖;白水泥擦缝</w:t>
            </w:r>
          </w:p>
        </w:tc>
        <w:tc>
          <w:tcPr>
            <w:tcW w:w="1251" w:type="dxa"/>
            <w:vAlign w:val="center"/>
          </w:tcPr>
          <w:p w14:paraId="43FACBD7">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地砖</w:t>
            </w:r>
          </w:p>
        </w:tc>
        <w:tc>
          <w:tcPr>
            <w:tcW w:w="733" w:type="dxa"/>
            <w:vAlign w:val="center"/>
          </w:tcPr>
          <w:p w14:paraId="076ABE97">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36.4</w:t>
            </w:r>
          </w:p>
        </w:tc>
      </w:tr>
      <w:tr w14:paraId="5B63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17EC24DE">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158" w:type="dxa"/>
            <w:vAlign w:val="center"/>
          </w:tcPr>
          <w:p w14:paraId="594F14F7">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49E42A09">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4395" w:type="dxa"/>
            <w:vAlign w:val="center"/>
          </w:tcPr>
          <w:p w14:paraId="512D8119">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原墙面乳胶漆铲除</w:t>
            </w:r>
          </w:p>
        </w:tc>
        <w:tc>
          <w:tcPr>
            <w:tcW w:w="1251" w:type="dxa"/>
            <w:vAlign w:val="center"/>
          </w:tcPr>
          <w:p w14:paraId="59BE7026">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铲除涂料</w:t>
            </w:r>
          </w:p>
        </w:tc>
        <w:tc>
          <w:tcPr>
            <w:tcW w:w="733" w:type="dxa"/>
            <w:vAlign w:val="center"/>
          </w:tcPr>
          <w:p w14:paraId="79E15A5C">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67.76</w:t>
            </w:r>
          </w:p>
        </w:tc>
      </w:tr>
      <w:tr w14:paraId="0EE6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1CEE50B2">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158" w:type="dxa"/>
            <w:vAlign w:val="center"/>
          </w:tcPr>
          <w:p w14:paraId="7D9A8065">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2B3CAAB0">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4395" w:type="dxa"/>
            <w:vAlign w:val="center"/>
          </w:tcPr>
          <w:p w14:paraId="516CEF7D">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墙面:三遍刮腻子找平;乳胶漆三度(封底漆一道);</w:t>
            </w:r>
          </w:p>
        </w:tc>
        <w:tc>
          <w:tcPr>
            <w:tcW w:w="1251" w:type="dxa"/>
            <w:vAlign w:val="center"/>
          </w:tcPr>
          <w:p w14:paraId="5B2C682C">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733" w:type="dxa"/>
            <w:vAlign w:val="center"/>
          </w:tcPr>
          <w:p w14:paraId="51A5510D">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67.76</w:t>
            </w:r>
          </w:p>
        </w:tc>
      </w:tr>
      <w:tr w14:paraId="60C7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35213559">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158" w:type="dxa"/>
            <w:vAlign w:val="center"/>
          </w:tcPr>
          <w:p w14:paraId="56087657">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1DB0CDBC">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4395" w:type="dxa"/>
            <w:vAlign w:val="center"/>
          </w:tcPr>
          <w:p w14:paraId="22D16EE1">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2-3厚建筑陶瓷粘结剂;100mm瓷砖踢脚线安装(专用胶收口);</w:t>
            </w:r>
          </w:p>
        </w:tc>
        <w:tc>
          <w:tcPr>
            <w:tcW w:w="1251" w:type="dxa"/>
            <w:vAlign w:val="center"/>
          </w:tcPr>
          <w:p w14:paraId="57976F73">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地砖踢脚线</w:t>
            </w:r>
          </w:p>
        </w:tc>
        <w:tc>
          <w:tcPr>
            <w:tcW w:w="733" w:type="dxa"/>
            <w:vAlign w:val="center"/>
          </w:tcPr>
          <w:p w14:paraId="679B741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24.2</w:t>
            </w:r>
          </w:p>
        </w:tc>
      </w:tr>
      <w:tr w14:paraId="4AA9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662D0138">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c>
          <w:tcPr>
            <w:tcW w:w="1158" w:type="dxa"/>
            <w:vAlign w:val="center"/>
          </w:tcPr>
          <w:p w14:paraId="6794B3D5">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4EC3E133">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w:t>
            </w:r>
          </w:p>
        </w:tc>
        <w:tc>
          <w:tcPr>
            <w:tcW w:w="4395" w:type="dxa"/>
            <w:vAlign w:val="center"/>
          </w:tcPr>
          <w:p w14:paraId="4BA32DCE">
            <w:pPr>
              <w:jc w:val="left"/>
              <w:rPr>
                <w:rFonts w:ascii="宋体" w:hAnsi="宋体" w:cs="宋体"/>
                <w:color w:val="auto"/>
                <w:sz w:val="18"/>
                <w:szCs w:val="18"/>
                <w:highlight w:val="none"/>
              </w:rPr>
            </w:pPr>
          </w:p>
        </w:tc>
        <w:tc>
          <w:tcPr>
            <w:tcW w:w="1251" w:type="dxa"/>
            <w:vAlign w:val="center"/>
          </w:tcPr>
          <w:p w14:paraId="4E210E3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改木门</w:t>
            </w:r>
          </w:p>
        </w:tc>
        <w:tc>
          <w:tcPr>
            <w:tcW w:w="733" w:type="dxa"/>
            <w:vAlign w:val="center"/>
          </w:tcPr>
          <w:p w14:paraId="652BB177">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14:paraId="29C0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692A5877">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12</w:t>
            </w:r>
          </w:p>
        </w:tc>
        <w:tc>
          <w:tcPr>
            <w:tcW w:w="1158" w:type="dxa"/>
            <w:vAlign w:val="center"/>
          </w:tcPr>
          <w:p w14:paraId="1890CB0A">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05C9F123">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w:t>
            </w:r>
          </w:p>
        </w:tc>
        <w:tc>
          <w:tcPr>
            <w:tcW w:w="4395" w:type="dxa"/>
            <w:vAlign w:val="center"/>
          </w:tcPr>
          <w:p w14:paraId="2F348F87">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服务台拆除：3.8*0.681.05及拆除垃圾外运</w:t>
            </w:r>
          </w:p>
        </w:tc>
        <w:tc>
          <w:tcPr>
            <w:tcW w:w="1251" w:type="dxa"/>
            <w:vAlign w:val="center"/>
          </w:tcPr>
          <w:p w14:paraId="0E72F048">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服务台拆除</w:t>
            </w:r>
          </w:p>
        </w:tc>
        <w:tc>
          <w:tcPr>
            <w:tcW w:w="733" w:type="dxa"/>
            <w:vAlign w:val="center"/>
          </w:tcPr>
          <w:p w14:paraId="6A78C382">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14:paraId="7ACA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5F6BE5B3">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13</w:t>
            </w:r>
          </w:p>
        </w:tc>
        <w:tc>
          <w:tcPr>
            <w:tcW w:w="1158" w:type="dxa"/>
            <w:vAlign w:val="center"/>
          </w:tcPr>
          <w:p w14:paraId="4957FCA9">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4F84CA2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w:t>
            </w:r>
          </w:p>
        </w:tc>
        <w:tc>
          <w:tcPr>
            <w:tcW w:w="4395" w:type="dxa"/>
            <w:vAlign w:val="center"/>
          </w:tcPr>
          <w:p w14:paraId="344CA73E">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管内穿线;BV-3*2.5;铜芯;插座开关面吧，地插；</w:t>
            </w:r>
          </w:p>
        </w:tc>
        <w:tc>
          <w:tcPr>
            <w:tcW w:w="1251" w:type="dxa"/>
            <w:vAlign w:val="center"/>
          </w:tcPr>
          <w:p w14:paraId="7BB8C44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配管及配线</w:t>
            </w:r>
          </w:p>
        </w:tc>
        <w:tc>
          <w:tcPr>
            <w:tcW w:w="733" w:type="dxa"/>
            <w:vAlign w:val="center"/>
          </w:tcPr>
          <w:p w14:paraId="7A4E8798">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14:paraId="41D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4119F5D7">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14</w:t>
            </w:r>
          </w:p>
        </w:tc>
        <w:tc>
          <w:tcPr>
            <w:tcW w:w="1158" w:type="dxa"/>
            <w:vAlign w:val="center"/>
          </w:tcPr>
          <w:p w14:paraId="1BF91FFC">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3F4CC91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w:t>
            </w:r>
          </w:p>
        </w:tc>
        <w:tc>
          <w:tcPr>
            <w:tcW w:w="4395" w:type="dxa"/>
            <w:vAlign w:val="center"/>
          </w:tcPr>
          <w:p w14:paraId="7FCB0FDA">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室内;污水;地面开槽;硬聚氯乙烯（PVC－U）排水管;DN50;承插连接;配套管件、配套胶水，粘结;闭水、通球、通水;</w:t>
            </w:r>
          </w:p>
        </w:tc>
        <w:tc>
          <w:tcPr>
            <w:tcW w:w="1251" w:type="dxa"/>
            <w:vAlign w:val="center"/>
          </w:tcPr>
          <w:p w14:paraId="2C2C2D9C">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空调水排污管</w:t>
            </w:r>
          </w:p>
        </w:tc>
        <w:tc>
          <w:tcPr>
            <w:tcW w:w="733" w:type="dxa"/>
            <w:vAlign w:val="center"/>
          </w:tcPr>
          <w:p w14:paraId="35DE8679">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14:paraId="3DB6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0" w:type="dxa"/>
            <w:vAlign w:val="center"/>
          </w:tcPr>
          <w:p w14:paraId="20F20F72">
            <w:pPr>
              <w:pStyle w:val="17"/>
              <w:jc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158" w:type="dxa"/>
            <w:vAlign w:val="center"/>
          </w:tcPr>
          <w:p w14:paraId="01473F91">
            <w:pPr>
              <w:pStyle w:val="17"/>
              <w:jc w:val="center"/>
              <w:rPr>
                <w:color w:val="auto"/>
                <w:sz w:val="18"/>
                <w:szCs w:val="18"/>
                <w:highlight w:val="none"/>
              </w:rPr>
            </w:pPr>
            <w:r>
              <w:rPr>
                <w:rFonts w:hint="eastAsia"/>
                <w:color w:val="auto"/>
                <w:sz w:val="18"/>
                <w:szCs w:val="18"/>
                <w:highlight w:val="none"/>
              </w:rPr>
              <w:t>模拟街区房屋修补和内部改造</w:t>
            </w:r>
          </w:p>
        </w:tc>
        <w:tc>
          <w:tcPr>
            <w:tcW w:w="708" w:type="dxa"/>
            <w:vAlign w:val="center"/>
          </w:tcPr>
          <w:p w14:paraId="255E452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4395" w:type="dxa"/>
            <w:vAlign w:val="center"/>
          </w:tcPr>
          <w:p w14:paraId="2C902B89">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吸顶灯</w:t>
            </w:r>
          </w:p>
        </w:tc>
        <w:tc>
          <w:tcPr>
            <w:tcW w:w="1251" w:type="dxa"/>
            <w:vAlign w:val="center"/>
          </w:tcPr>
          <w:p w14:paraId="31E2EC7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普通灯具</w:t>
            </w:r>
          </w:p>
        </w:tc>
        <w:tc>
          <w:tcPr>
            <w:tcW w:w="733" w:type="dxa"/>
            <w:vAlign w:val="center"/>
          </w:tcPr>
          <w:p w14:paraId="6997651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r>
    </w:tbl>
    <w:p w14:paraId="2E175F8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基本要求</w:t>
      </w:r>
    </w:p>
    <w:p w14:paraId="1473A2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1.供应商应保证所供货物的安全性、可靠性、先进性、经济性和实用性，并为全新、未使用过的原装合格正品，完全符合</w:t>
      </w:r>
      <w:r>
        <w:rPr>
          <w:rFonts w:hint="eastAsia" w:ascii="宋体" w:hAnsi="宋体" w:cs="宋体"/>
          <w:b w:val="0"/>
          <w:bCs/>
          <w:color w:val="auto"/>
          <w:kern w:val="0"/>
          <w:szCs w:val="21"/>
          <w:highlight w:val="none"/>
          <w:lang w:eastAsia="zh-CN"/>
        </w:rPr>
        <w:t>询价通知书</w:t>
      </w:r>
      <w:r>
        <w:rPr>
          <w:rFonts w:hint="eastAsia" w:ascii="宋体" w:hAnsi="宋体" w:cs="宋体"/>
          <w:b w:val="0"/>
          <w:bCs/>
          <w:color w:val="auto"/>
          <w:kern w:val="0"/>
          <w:szCs w:val="21"/>
          <w:highlight w:val="none"/>
        </w:rPr>
        <w:t>规定的质量、规格和性能的要求，达到中国最新版的法律、法规或行业规定的相关标准、规范的要求，符合项目所在地政府有关特殊要求，同时满足采购人使用要求，保证能通过采购人的验收。</w:t>
      </w:r>
    </w:p>
    <w:p w14:paraId="68937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47EBCE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3.供应商成交后须与采购人在磋商产品的“功能配置、技术要求等”方面及时交底沟通；成交供应商开始制造</w:t>
      </w:r>
      <w:r>
        <w:rPr>
          <w:rFonts w:hint="eastAsia" w:ascii="宋体" w:hAnsi="宋体" w:cs="宋体"/>
          <w:b w:val="0"/>
          <w:bCs/>
          <w:color w:val="auto"/>
          <w:kern w:val="0"/>
          <w:szCs w:val="21"/>
          <w:highlight w:val="none"/>
          <w:lang w:eastAsia="zh-CN"/>
        </w:rPr>
        <w:t>或采购</w:t>
      </w:r>
      <w:r>
        <w:rPr>
          <w:rFonts w:hint="eastAsia" w:ascii="宋体" w:hAnsi="宋体" w:cs="宋体"/>
          <w:b w:val="0"/>
          <w:bCs/>
          <w:color w:val="auto"/>
          <w:kern w:val="0"/>
          <w:szCs w:val="21"/>
          <w:highlight w:val="none"/>
        </w:rPr>
        <w:t>产品之前，采购人有权要求成交供应商对产品进行微调，最终的产品须经采购人确认同意。</w:t>
      </w:r>
    </w:p>
    <w:p w14:paraId="1E9BD0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（三）服务要求</w:t>
      </w:r>
    </w:p>
    <w:p w14:paraId="445FFC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rPr>
        <w:t>、施工单位在施工过程中注意施工垃圾的存放、运输和处理，严禁随意倾倒。做好施工人员安全培训工作，安装过程中做好相关保障措施。</w:t>
      </w:r>
    </w:p>
    <w:p w14:paraId="589642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rPr>
        <w:t>、墙板与墙板之间使用4个U型插销连接，使用铁锤辅助安装。</w:t>
      </w:r>
    </w:p>
    <w:p w14:paraId="35E4C4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rPr>
        <w:t>、拆卸时，用铁锤将4个U型插销取下即可。</w:t>
      </w:r>
    </w:p>
    <w:p w14:paraId="27C250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4</w:t>
      </w:r>
      <w:r>
        <w:rPr>
          <w:rFonts w:hint="eastAsia" w:ascii="宋体" w:hAnsi="宋体" w:cs="宋体"/>
          <w:b w:val="0"/>
          <w:bCs/>
          <w:color w:val="auto"/>
          <w:kern w:val="0"/>
          <w:szCs w:val="21"/>
          <w:highlight w:val="none"/>
        </w:rPr>
        <w:t>、搬运、组装与拆卸时要多人配合，预防砸伤。</w:t>
      </w:r>
    </w:p>
    <w:p w14:paraId="12237D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5</w:t>
      </w:r>
      <w:r>
        <w:rPr>
          <w:rFonts w:hint="eastAsia" w:ascii="宋体" w:hAnsi="宋体" w:cs="宋体"/>
          <w:b w:val="0"/>
          <w:bCs/>
          <w:color w:val="auto"/>
          <w:kern w:val="0"/>
          <w:szCs w:val="21"/>
          <w:highlight w:val="none"/>
        </w:rPr>
        <w:t>、因板房单元与地面不连接，避免出现“一字型”单独墙体。</w:t>
      </w:r>
    </w:p>
    <w:p w14:paraId="15CD87A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6</w:t>
      </w:r>
      <w:r>
        <w:rPr>
          <w:rFonts w:hint="eastAsia" w:ascii="宋体" w:hAnsi="宋体" w:cs="宋体"/>
          <w:b w:val="0"/>
          <w:bCs/>
          <w:color w:val="auto"/>
          <w:kern w:val="0"/>
          <w:szCs w:val="21"/>
          <w:highlight w:val="none"/>
        </w:rPr>
        <w:t>、2面墙连接（90°转角）使用90°单元组件（L型），3面墙连接使用180°单元组件（T型）连接。</w:t>
      </w:r>
    </w:p>
    <w:p w14:paraId="035B2B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7</w:t>
      </w:r>
      <w:r>
        <w:rPr>
          <w:rFonts w:hint="eastAsia" w:ascii="宋体" w:hAnsi="宋体" w:cs="宋体"/>
          <w:b w:val="0"/>
          <w:bCs/>
          <w:color w:val="auto"/>
          <w:kern w:val="0"/>
          <w:szCs w:val="21"/>
          <w:highlight w:val="none"/>
        </w:rPr>
        <w:t>、搬运、安装及拆卸时注意漆面防护，如有掉漆及时补漆。</w:t>
      </w:r>
    </w:p>
    <w:p w14:paraId="6B0A52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8</w:t>
      </w:r>
      <w:r>
        <w:rPr>
          <w:rFonts w:hint="eastAsia" w:ascii="宋体" w:hAnsi="宋体" w:cs="宋体"/>
          <w:b w:val="0"/>
          <w:bCs/>
          <w:color w:val="auto"/>
          <w:kern w:val="0"/>
          <w:szCs w:val="21"/>
          <w:highlight w:val="none"/>
        </w:rPr>
        <w:t>、定期检查板房单元，如发现因掉漆出现生锈，请将锈迹打磨处理后补漆即可。</w:t>
      </w:r>
    </w:p>
    <w:p w14:paraId="3FC944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9</w:t>
      </w:r>
      <w:r>
        <w:rPr>
          <w:rFonts w:hint="eastAsia" w:ascii="宋体" w:hAnsi="宋体" w:cs="宋体"/>
          <w:b w:val="0"/>
          <w:bCs/>
          <w:color w:val="auto"/>
          <w:kern w:val="0"/>
          <w:szCs w:val="21"/>
          <w:highlight w:val="none"/>
        </w:rPr>
        <w:t>、遇雨雪、大风等恶劣天气请将门、窗上锁；闲置的板房单元要及时清理表面积水、积雪。</w:t>
      </w:r>
    </w:p>
    <w:p w14:paraId="3625FB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10</w:t>
      </w:r>
      <w:r>
        <w:rPr>
          <w:rFonts w:hint="eastAsia" w:ascii="宋体" w:hAnsi="宋体" w:cs="宋体"/>
          <w:b w:val="0"/>
          <w:bCs/>
          <w:color w:val="auto"/>
          <w:kern w:val="0"/>
          <w:szCs w:val="21"/>
          <w:highlight w:val="none"/>
        </w:rPr>
        <w:t>、搬运及安装时注意轻拿轻放。</w:t>
      </w:r>
    </w:p>
    <w:p w14:paraId="1D1FE2B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lang w:eastAsia="zh-CN"/>
        </w:rPr>
        <w:t>四</w:t>
      </w:r>
      <w:r>
        <w:rPr>
          <w:rFonts w:hint="eastAsia" w:asciiTheme="minorEastAsia" w:hAnsiTheme="minorEastAsia" w:eastAsiaTheme="minorEastAsia" w:cstheme="minorEastAsia"/>
          <w:b/>
          <w:color w:val="auto"/>
          <w:kern w:val="0"/>
          <w:sz w:val="21"/>
          <w:szCs w:val="21"/>
          <w:highlight w:val="none"/>
        </w:rPr>
        <w:t>）付款方式</w:t>
      </w:r>
    </w:p>
    <w:p w14:paraId="3D56F63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项目验收合格后，根据审定价一次性支付所有项目款。</w:t>
      </w:r>
    </w:p>
    <w:p w14:paraId="25EB31BB">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eastAsia="zh-CN"/>
        </w:rPr>
        <w:t>二</w:t>
      </w:r>
      <w:r>
        <w:rPr>
          <w:rFonts w:hint="eastAsia" w:asciiTheme="minorEastAsia" w:hAnsiTheme="minorEastAsia" w:eastAsiaTheme="minorEastAsia" w:cstheme="minorEastAsia"/>
          <w:b/>
          <w:color w:val="auto"/>
          <w:kern w:val="0"/>
          <w:sz w:val="21"/>
          <w:szCs w:val="21"/>
          <w:highlight w:val="none"/>
        </w:rPr>
        <w:t>、询价响应文件的内容：</w:t>
      </w:r>
    </w:p>
    <w:p w14:paraId="13862578">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（一）资格证明材料</w:t>
      </w:r>
    </w:p>
    <w:p w14:paraId="18CE201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1.</w:t>
      </w:r>
      <w:r>
        <w:rPr>
          <w:rFonts w:hint="eastAsia" w:ascii="宋体" w:cs="宋体"/>
          <w:bCs/>
          <w:color w:val="auto"/>
          <w:kern w:val="0"/>
          <w:szCs w:val="21"/>
          <w:highlight w:val="none"/>
        </w:rPr>
        <w:t>营业执照副本</w:t>
      </w:r>
    </w:p>
    <w:p w14:paraId="49FED055">
      <w:pPr>
        <w:widowControl/>
        <w:snapToGrid w:val="0"/>
        <w:spacing w:line="360" w:lineRule="exact"/>
        <w:ind w:firstLine="420" w:firstLineChars="200"/>
        <w:jc w:val="left"/>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2.供应商简介（含供应商规模、技术能力及装备水平等）、人员情况、典型项目介绍等</w:t>
      </w:r>
    </w:p>
    <w:p w14:paraId="6AFE9835">
      <w:pPr>
        <w:widowControl/>
        <w:snapToGrid w:val="0"/>
        <w:spacing w:line="360" w:lineRule="exact"/>
        <w:ind w:firstLine="420" w:firstLineChars="200"/>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3.</w:t>
      </w:r>
      <w:r>
        <w:rPr>
          <w:rFonts w:hint="eastAsia" w:asciiTheme="minorEastAsia" w:hAnsiTheme="minorEastAsia" w:eastAsiaTheme="minorEastAsia" w:cstheme="minorEastAsia"/>
          <w:bCs/>
          <w:color w:val="auto"/>
          <w:kern w:val="0"/>
          <w:sz w:val="21"/>
          <w:szCs w:val="21"/>
          <w:highlight w:val="none"/>
        </w:rPr>
        <w:t>供应商资格声明函（附件1）</w:t>
      </w:r>
    </w:p>
    <w:p w14:paraId="1AF08926">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响应函（附件2）</w:t>
      </w:r>
    </w:p>
    <w:p w14:paraId="66BAA59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5.</w:t>
      </w:r>
      <w:r>
        <w:rPr>
          <w:rFonts w:hint="eastAsia" w:cs="宋体"/>
          <w:color w:val="auto"/>
          <w:szCs w:val="21"/>
          <w:highlight w:val="none"/>
        </w:rPr>
        <w:t>法定代表人资格证明书、法定代表人身份证复印件（双面）（附件3）</w:t>
      </w:r>
    </w:p>
    <w:p w14:paraId="68D3C88E">
      <w:pPr>
        <w:widowControl/>
        <w:snapToGrid w:val="0"/>
        <w:spacing w:line="360" w:lineRule="exact"/>
        <w:ind w:firstLine="420" w:firstLineChars="200"/>
        <w:jc w:val="left"/>
        <w:rPr>
          <w:rFonts w:hint="eastAsia"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授权委托书、代理人身份证复印件（双面）、</w:t>
      </w:r>
      <w:r>
        <w:rPr>
          <w:rFonts w:hint="eastAsia" w:ascii="宋体" w:cs="宋体"/>
          <w:bCs/>
          <w:color w:val="auto"/>
          <w:kern w:val="0"/>
          <w:szCs w:val="21"/>
          <w:highlight w:val="none"/>
        </w:rPr>
        <w:t>供应商近三个月（自开标之日往前推）为其缴纳社保的记录</w:t>
      </w:r>
      <w:r>
        <w:rPr>
          <w:rFonts w:hint="eastAsia" w:ascii="宋体" w:cs="宋体"/>
          <w:bCs/>
          <w:color w:val="auto"/>
          <w:kern w:val="0"/>
          <w:szCs w:val="21"/>
          <w:highlight w:val="none"/>
        </w:rPr>
        <w:t>（如果有授权委托情况的，必须提供）（附件4）</w:t>
      </w:r>
    </w:p>
    <w:p w14:paraId="3EC6B15E">
      <w:pPr>
        <w:widowControl/>
        <w:snapToGrid w:val="0"/>
        <w:spacing w:line="360" w:lineRule="exact"/>
        <w:ind w:firstLine="420" w:firstLineChars="200"/>
        <w:jc w:val="left"/>
        <w:rPr>
          <w:rFonts w:hint="eastAsia" w:ascii="宋体" w:eastAsia="宋体" w:cs="宋体"/>
          <w:bCs/>
          <w:color w:val="auto"/>
          <w:kern w:val="0"/>
          <w:szCs w:val="21"/>
          <w:highlight w:val="none"/>
          <w:lang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7</w:t>
      </w:r>
      <w:r>
        <w:rPr>
          <w:rFonts w:hint="eastAsia" w:ascii="宋体" w:cs="宋体"/>
          <w:bCs/>
          <w:color w:val="auto"/>
          <w:kern w:val="0"/>
          <w:szCs w:val="21"/>
          <w:highlight w:val="none"/>
        </w:rPr>
        <w:t>.拟投入本项目的项目经理须具备建筑工程专业注册二级建造师及以上资质和《建筑施工企业项目负责人安全生产考核合格证书》(B证)(须提供本单位为其缴纳的最近一期社保证明)</w:t>
      </w:r>
      <w:r>
        <w:rPr>
          <w:rFonts w:hint="eastAsia" w:ascii="宋体" w:cs="宋体"/>
          <w:bCs/>
          <w:color w:val="auto"/>
          <w:kern w:val="0"/>
          <w:szCs w:val="21"/>
          <w:highlight w:val="none"/>
          <w:lang w:eastAsia="zh-CN"/>
        </w:rPr>
        <w:t>；</w:t>
      </w:r>
    </w:p>
    <w:p w14:paraId="1E0050F6">
      <w:pPr>
        <w:widowControl/>
        <w:snapToGrid w:val="0"/>
        <w:spacing w:line="360" w:lineRule="exact"/>
        <w:ind w:firstLine="420" w:firstLineChars="200"/>
        <w:jc w:val="left"/>
        <w:rPr>
          <w:rFonts w:hint="eastAsia" w:ascii="宋体" w:cs="宋体"/>
          <w:bCs/>
          <w:color w:val="auto"/>
          <w:kern w:val="0"/>
          <w:szCs w:val="21"/>
          <w:highlight w:val="none"/>
          <w:lang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8</w:t>
      </w:r>
      <w:r>
        <w:rPr>
          <w:rFonts w:hint="eastAsia" w:ascii="宋体" w:cs="宋体"/>
          <w:bCs/>
          <w:color w:val="auto"/>
          <w:kern w:val="0"/>
          <w:szCs w:val="21"/>
          <w:highlight w:val="none"/>
        </w:rPr>
        <w:t>.供应商具备有效的《安全生产许可证》</w:t>
      </w:r>
      <w:r>
        <w:rPr>
          <w:rFonts w:hint="eastAsia" w:ascii="宋体" w:cs="宋体"/>
          <w:bCs/>
          <w:color w:val="auto"/>
          <w:kern w:val="0"/>
          <w:szCs w:val="21"/>
          <w:highlight w:val="none"/>
          <w:lang w:eastAsia="zh-CN"/>
        </w:rPr>
        <w:t>；</w:t>
      </w:r>
    </w:p>
    <w:p w14:paraId="52B59538">
      <w:pPr>
        <w:widowControl/>
        <w:snapToGrid w:val="0"/>
        <w:spacing w:line="360" w:lineRule="exact"/>
        <w:ind w:firstLine="420" w:firstLineChars="200"/>
        <w:jc w:val="left"/>
        <w:rPr>
          <w:rFonts w:hint="eastAsia" w:ascii="宋体" w:eastAsia="宋体" w:cs="宋体"/>
          <w:bCs/>
          <w:color w:val="auto"/>
          <w:kern w:val="0"/>
          <w:szCs w:val="21"/>
          <w:highlight w:val="none"/>
          <w:lang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9.</w:t>
      </w:r>
      <w:r>
        <w:rPr>
          <w:rFonts w:hint="eastAsia" w:ascii="宋体" w:cs="宋体"/>
          <w:bCs/>
          <w:color w:val="auto"/>
          <w:kern w:val="0"/>
          <w:szCs w:val="21"/>
          <w:highlight w:val="none"/>
        </w:rPr>
        <w:t>提供该项目的</w:t>
      </w:r>
      <w:r>
        <w:rPr>
          <w:rFonts w:hint="eastAsia" w:ascii="宋体" w:cs="宋体"/>
          <w:b/>
          <w:bCs w:val="0"/>
          <w:color w:val="auto"/>
          <w:kern w:val="0"/>
          <w:szCs w:val="21"/>
          <w:highlight w:val="none"/>
          <w:lang w:val="en-US" w:eastAsia="zh-CN"/>
        </w:rPr>
        <w:t>实景</w:t>
      </w:r>
      <w:r>
        <w:rPr>
          <w:rFonts w:hint="eastAsia" w:ascii="宋体" w:cs="宋体"/>
          <w:bCs/>
          <w:color w:val="auto"/>
          <w:kern w:val="0"/>
          <w:szCs w:val="21"/>
          <w:highlight w:val="none"/>
        </w:rPr>
        <w:t>效果图方案(不低于3张)</w:t>
      </w:r>
      <w:r>
        <w:rPr>
          <w:rFonts w:hint="eastAsia" w:ascii="宋体" w:cs="宋体"/>
          <w:bCs/>
          <w:color w:val="auto"/>
          <w:kern w:val="0"/>
          <w:szCs w:val="21"/>
          <w:highlight w:val="none"/>
          <w:lang w:eastAsia="zh-CN"/>
        </w:rPr>
        <w:t>；</w:t>
      </w:r>
    </w:p>
    <w:p w14:paraId="06B37F92">
      <w:pPr>
        <w:snapToGrid/>
        <w:spacing w:line="360" w:lineRule="exact"/>
        <w:ind w:firstLine="422" w:firstLineChars="201"/>
        <w:rPr>
          <w:rFonts w:hint="default" w:ascii="宋体" w:hAnsi="宋体" w:eastAsia="宋体" w:cs="宋体"/>
          <w:color w:val="auto"/>
          <w:szCs w:val="21"/>
          <w:highlight w:val="none"/>
          <w:lang w:val="en-US"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10.</w:t>
      </w:r>
      <w:r>
        <w:rPr>
          <w:rFonts w:hint="eastAsia" w:ascii="宋体" w:hAnsi="宋体" w:cs="宋体"/>
          <w:color w:val="auto"/>
          <w:szCs w:val="21"/>
          <w:highlight w:val="none"/>
        </w:rPr>
        <w:t>提供“信用中国”网站</w:t>
      </w:r>
      <w:r>
        <w:rPr>
          <w:rFonts w:hint="eastAsia" w:ascii="宋体" w:hAnsi="宋体" w:cs="宋体"/>
          <w:color w:val="auto"/>
          <w:szCs w:val="21"/>
          <w:highlight w:val="none"/>
          <w:lang w:val="en-US" w:eastAsia="zh-CN"/>
        </w:rPr>
        <w:t>下列查询截图：</w:t>
      </w:r>
    </w:p>
    <w:p w14:paraId="3E471C62">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信用记录行政处罚(www.creditchina.gov.cn)</w:t>
      </w:r>
    </w:p>
    <w:p w14:paraId="4D3C0B0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失信被执行人</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https://zxgk.court.gov.cn/shixin/</w:t>
      </w:r>
      <w:r>
        <w:rPr>
          <w:rFonts w:hint="eastAsia" w:ascii="宋体" w:hAnsi="宋体" w:cs="宋体"/>
          <w:color w:val="auto"/>
          <w:szCs w:val="21"/>
          <w:highlight w:val="none"/>
          <w:lang w:eastAsia="zh-CN"/>
        </w:rPr>
        <w:t>）</w:t>
      </w:r>
    </w:p>
    <w:p w14:paraId="380206E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重大税收违法案件当事人名单</w:t>
      </w:r>
    </w:p>
    <w:p w14:paraId="4E3B656C">
      <w:pPr>
        <w:snapToGrid/>
        <w:spacing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https://www.creditchina.gov.cn/zhuanxiangchaxun/zhongdashuishouweifaanjian/</w:t>
      </w:r>
      <w:r>
        <w:rPr>
          <w:rFonts w:hint="eastAsia" w:ascii="宋体" w:hAnsi="宋体" w:cs="宋体"/>
          <w:color w:val="auto"/>
          <w:szCs w:val="21"/>
          <w:highlight w:val="none"/>
          <w:lang w:eastAsia="zh-CN"/>
        </w:rPr>
        <w:t>）</w:t>
      </w:r>
    </w:p>
    <w:p w14:paraId="4727A780">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严重失信行为记录名单</w:t>
      </w:r>
    </w:p>
    <w:p w14:paraId="592D56F7">
      <w:pPr>
        <w:snapToGrid/>
        <w:spacing w:line="360" w:lineRule="exact"/>
        <w:ind w:firstLine="0" w:firstLineChars="0"/>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https://www.creditchina.gov.cn/xinxigongshi/shixinheimingdan/</w:t>
      </w:r>
      <w:r>
        <w:rPr>
          <w:rFonts w:hint="eastAsia" w:ascii="宋体" w:hAnsi="宋体" w:cs="宋体"/>
          <w:color w:val="auto"/>
          <w:szCs w:val="21"/>
          <w:highlight w:val="none"/>
          <w:lang w:eastAsia="zh-CN"/>
        </w:rPr>
        <w:t>）</w:t>
      </w:r>
    </w:p>
    <w:p w14:paraId="5A29B3C3">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5F2936C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79E72DC2">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3A9F4835">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3.</w:t>
      </w:r>
      <w:r>
        <w:rPr>
          <w:rFonts w:hint="eastAsia" w:ascii="宋体" w:cs="宋体"/>
          <w:bCs/>
          <w:color w:val="auto"/>
          <w:kern w:val="0"/>
          <w:szCs w:val="21"/>
          <w:highlight w:val="none"/>
        </w:rPr>
        <w:t>服务承诺书（附件7）</w:t>
      </w:r>
    </w:p>
    <w:p w14:paraId="204BD09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4.</w:t>
      </w:r>
      <w:r>
        <w:rPr>
          <w:rFonts w:hint="eastAsia" w:ascii="宋体" w:cs="宋体"/>
          <w:bCs/>
          <w:color w:val="auto"/>
          <w:kern w:val="0"/>
          <w:szCs w:val="21"/>
          <w:highlight w:val="none"/>
        </w:rPr>
        <w:t>偏离表（附件8）</w:t>
      </w:r>
    </w:p>
    <w:p w14:paraId="4C5F6AD3">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5.</w:t>
      </w:r>
      <w:r>
        <w:rPr>
          <w:rFonts w:hint="eastAsia" w:ascii="宋体" w:cs="宋体"/>
          <w:bCs/>
          <w:color w:val="auto"/>
          <w:kern w:val="0"/>
          <w:szCs w:val="21"/>
          <w:highlight w:val="none"/>
        </w:rPr>
        <w:t>其他资料</w:t>
      </w:r>
    </w:p>
    <w:p w14:paraId="0B72817A">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0E06B9DE">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1.询价响应文件</w:t>
      </w:r>
      <w:r>
        <w:rPr>
          <w:rFonts w:hint="eastAsia" w:ascii="宋体" w:cs="宋体"/>
          <w:color w:val="auto"/>
          <w:kern w:val="0"/>
          <w:szCs w:val="21"/>
          <w:highlight w:val="none"/>
        </w:rPr>
        <w:t>中复印件需加盖供应商公章</w:t>
      </w:r>
      <w:r>
        <w:rPr>
          <w:rFonts w:hint="eastAsia" w:ascii="宋体" w:cs="宋体"/>
          <w:color w:val="auto"/>
          <w:kern w:val="0"/>
          <w:szCs w:val="21"/>
          <w:highlight w:val="none"/>
          <w:lang w:eastAsia="zh-CN"/>
        </w:rPr>
        <w:t>，</w:t>
      </w:r>
      <w:r>
        <w:rPr>
          <w:rFonts w:hint="eastAsia" w:ascii="宋体" w:cs="宋体"/>
          <w:bCs/>
          <w:color w:val="auto"/>
          <w:kern w:val="0"/>
          <w:szCs w:val="21"/>
          <w:highlight w:val="none"/>
        </w:rPr>
        <w:t>带“★”内容均必须提供并加盖供应商公章，否则将作为无效响应文件处理。</w:t>
      </w:r>
    </w:p>
    <w:p w14:paraId="59EE8A9F">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highlight w:val="none"/>
        </w:rPr>
      </w:pPr>
      <w:r>
        <w:rPr>
          <w:rFonts w:hint="eastAsia" w:ascii="宋体" w:cs="宋体"/>
          <w:bCs/>
          <w:color w:val="auto"/>
          <w:kern w:val="0"/>
          <w:szCs w:val="21"/>
          <w:highlight w:val="none"/>
          <w:lang w:val="en-US" w:eastAsia="zh-CN"/>
        </w:rPr>
        <w:t>2.</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壹份“正本”、贰份“副本”、壹份“电子文档”（载体采用“电子光盘”或“U盘”，内容包含全套响应文件）。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w:t>
      </w:r>
      <w:r>
        <w:rPr>
          <w:rFonts w:hint="eastAsia" w:ascii="宋体" w:hAnsi="宋体" w:cs="宋体"/>
          <w:color w:val="auto"/>
          <w:szCs w:val="21"/>
          <w:highlight w:val="none"/>
        </w:rPr>
        <w:t>都应写明供应商名称、项目名称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年月日，加盖供应商公章。</w:t>
      </w:r>
      <w:r>
        <w:rPr>
          <w:rFonts w:hint="eastAsia" w:ascii="宋体" w:hAnsi="宋体" w:cs="宋体"/>
          <w:color w:val="auto"/>
          <w:szCs w:val="21"/>
          <w:highlight w:val="none"/>
        </w:rPr>
        <w:t>纸质版投标文件正本和副本如有不一致之处，以纸质版正本为准。</w:t>
      </w:r>
    </w:p>
    <w:p w14:paraId="3B906DE2">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.供应商应保证所提供的上述资料的真实性和合法性。</w:t>
      </w:r>
    </w:p>
    <w:p w14:paraId="28DB5509">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ascii="宋体" w:cs="Arial"/>
          <w:b/>
          <w:color w:val="auto"/>
          <w:szCs w:val="21"/>
          <w:highlight w:val="none"/>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供应商违反上述规定的，其响应文件将被作为无效响应文件，不予拆封和参加评审。</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、报价要求</w:t>
      </w:r>
    </w:p>
    <w:p w14:paraId="3BDE084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highlight w:val="none"/>
          <w:lang w:eastAsia="zh-CN"/>
        </w:rPr>
      </w:pPr>
      <w:r>
        <w:rPr>
          <w:rFonts w:hint="eastAsia" w:ascii="宋体" w:cs="Arial"/>
          <w:color w:val="auto"/>
          <w:szCs w:val="21"/>
          <w:highlight w:val="none"/>
        </w:rPr>
        <w:t>1</w:t>
      </w:r>
      <w:r>
        <w:rPr>
          <w:rFonts w:hint="eastAsia" w:ascii="宋体" w:cs="Arial"/>
          <w:color w:val="auto"/>
          <w:szCs w:val="21"/>
          <w:highlight w:val="none"/>
          <w:lang w:val="en-US" w:eastAsia="zh-CN"/>
        </w:rPr>
        <w:t>.</w:t>
      </w:r>
      <w:r>
        <w:rPr>
          <w:rFonts w:hint="eastAsia" w:ascii="宋体" w:cs="Arial"/>
          <w:color w:val="auto"/>
          <w:szCs w:val="21"/>
          <w:highlight w:val="none"/>
        </w:rPr>
        <w:t>本项目报价为</w:t>
      </w:r>
      <w:r>
        <w:rPr>
          <w:rFonts w:hint="eastAsia" w:ascii="宋体" w:cs="Arial"/>
          <w:color w:val="auto"/>
          <w:szCs w:val="21"/>
          <w:highlight w:val="none"/>
          <w:u w:val="single"/>
        </w:rPr>
        <w:t>固定总价</w:t>
      </w:r>
      <w:r>
        <w:rPr>
          <w:rFonts w:hint="eastAsia" w:ascii="宋体" w:cs="Arial"/>
          <w:color w:val="auto"/>
          <w:szCs w:val="21"/>
          <w:highlight w:val="none"/>
        </w:rPr>
        <w:t>，</w:t>
      </w:r>
      <w:r>
        <w:rPr>
          <w:rFonts w:hint="eastAsia" w:ascii="宋体" w:hAnsi="宋体" w:cs="宋体"/>
          <w:b w:val="0"/>
          <w:bCs/>
          <w:color w:val="auto"/>
          <w:kern w:val="0"/>
          <w:szCs w:val="21"/>
          <w:highlight w:val="none"/>
          <w:lang w:eastAsia="zh-CN"/>
        </w:rPr>
        <w:t>报价货币为人民币，评审时以人民币为准。</w:t>
      </w:r>
      <w:r>
        <w:rPr>
          <w:rFonts w:hint="eastAsia" w:ascii="宋体" w:cs="Arial"/>
          <w:color w:val="auto"/>
          <w:szCs w:val="21"/>
          <w:highlight w:val="none"/>
        </w:rPr>
        <w:t>报价应包括询价通知书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采购人不再支付其他任何费用。</w:t>
      </w:r>
    </w:p>
    <w:p w14:paraId="698608D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color w:val="auto"/>
          <w:szCs w:val="21"/>
          <w:highlight w:val="none"/>
          <w:lang w:val="en-US" w:eastAsia="zh-CN"/>
        </w:rPr>
        <w:t>189684.12</w:t>
      </w:r>
      <w:r>
        <w:rPr>
          <w:rFonts w:hint="eastAsia" w:ascii="宋体" w:hAnsi="宋体" w:cs="宋体"/>
          <w:b/>
          <w:color w:val="auto"/>
          <w:szCs w:val="21"/>
          <w:highlight w:val="none"/>
        </w:rPr>
        <w:t>元，</w:t>
      </w:r>
      <w:r>
        <w:rPr>
          <w:rFonts w:hint="eastAsia" w:ascii="宋体" w:hAnsi="宋体" w:cs="宋体"/>
          <w:b/>
          <w:color w:val="auto"/>
          <w:szCs w:val="21"/>
          <w:highlight w:val="none"/>
        </w:rPr>
        <w:t>报价高于最高限价的作为无效响应处理。</w:t>
      </w:r>
    </w:p>
    <w:p w14:paraId="08C81AB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供应商应按照询价通知书中提供的格式完整、正确填写报价一览表、报价明细表。报价明细表中的报价应与报价一览表的总价完全一致，如有不一致的，以报价一览表的报价为准。</w:t>
      </w:r>
    </w:p>
    <w:p w14:paraId="030A13D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培训服务费用报价：由各供应商根据企业自身情况自行决定是否单列。如供应商单列培训费用，则自行将询价通知书所提供的“报价明细表”格式扩展。</w:t>
      </w:r>
    </w:p>
    <w:p w14:paraId="1F472F2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5</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供应商需对每部分报价包含的服务内容进行明确说明。如有特别承诺，也需明确说明。</w:t>
      </w:r>
    </w:p>
    <w:p w14:paraId="3E9DB99B">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、评审、定标方法</w:t>
      </w:r>
    </w:p>
    <w:p w14:paraId="7930815A">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5ADEF9E">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1EF7267">
      <w:pPr>
        <w:keepNext w:val="0"/>
        <w:keepLines w:val="0"/>
        <w:pageBreakBefore w:val="0"/>
        <w:kinsoku/>
        <w:wordWrap/>
        <w:overflowPunct/>
        <w:topLinePunct w:val="0"/>
        <w:autoSpaceDE/>
        <w:autoSpaceDN/>
        <w:bidi w:val="0"/>
        <w:adjustRightInd/>
        <w:spacing w:line="36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五、</w:t>
      </w:r>
      <w:r>
        <w:rPr>
          <w:rFonts w:hint="eastAsia" w:ascii="宋体" w:hAnsi="宋体" w:cs="宋体"/>
          <w:b/>
          <w:color w:val="auto"/>
          <w:szCs w:val="21"/>
          <w:highlight w:val="none"/>
        </w:rPr>
        <w:t>出现下列情形之一的，终止</w:t>
      </w:r>
      <w:r>
        <w:rPr>
          <w:rFonts w:hint="eastAsia" w:ascii="宋体" w:hAnsi="宋体" w:cs="宋体"/>
          <w:b/>
          <w:color w:val="auto"/>
          <w:szCs w:val="21"/>
          <w:highlight w:val="none"/>
          <w:lang w:eastAsia="zh-CN"/>
        </w:rPr>
        <w:t>询价采购</w:t>
      </w:r>
      <w:r>
        <w:rPr>
          <w:rFonts w:hint="eastAsia" w:ascii="宋体" w:hAnsi="宋体" w:cs="宋体"/>
          <w:b/>
          <w:color w:val="auto"/>
          <w:szCs w:val="21"/>
          <w:highlight w:val="none"/>
        </w:rPr>
        <w:t>活动</w:t>
      </w:r>
    </w:p>
    <w:p w14:paraId="54B39216">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eastAsia="zh-CN"/>
        </w:rPr>
        <w:t>因情况变化，不再符合规定的询价采购方式适用情形的；</w:t>
      </w:r>
    </w:p>
    <w:p w14:paraId="53A38522">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出现影响采购公正的违法、违规行为的；</w:t>
      </w:r>
    </w:p>
    <w:p w14:paraId="6DBA5B8F">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lang w:eastAsia="zh-CN"/>
        </w:rPr>
        <w:t>在采购过程中符合竞争要求的供应商或者报价未超过采购预算</w:t>
      </w:r>
      <w:r>
        <w:rPr>
          <w:rFonts w:hint="eastAsia" w:ascii="宋体" w:hAnsi="宋体" w:cs="宋体"/>
          <w:b w:val="0"/>
          <w:bCs/>
          <w:color w:val="auto"/>
          <w:kern w:val="0"/>
          <w:szCs w:val="21"/>
          <w:highlight w:val="none"/>
          <w:lang w:eastAsia="zh-CN"/>
        </w:rPr>
        <w:t>或最高限价</w:t>
      </w:r>
      <w:r>
        <w:rPr>
          <w:rFonts w:hint="eastAsia" w:ascii="宋体" w:hAnsi="宋体" w:cs="宋体"/>
          <w:b w:val="0"/>
          <w:bCs/>
          <w:color w:val="auto"/>
          <w:kern w:val="0"/>
          <w:szCs w:val="21"/>
          <w:highlight w:val="none"/>
          <w:lang w:eastAsia="zh-CN"/>
        </w:rPr>
        <w:t>的供应商</w:t>
      </w:r>
      <w:r>
        <w:rPr>
          <w:rFonts w:hint="eastAsia" w:ascii="宋体" w:hAnsi="宋体" w:cs="宋体"/>
          <w:b w:val="0"/>
          <w:bCs/>
          <w:color w:val="auto"/>
          <w:kern w:val="0"/>
          <w:szCs w:val="21"/>
          <w:highlight w:val="none"/>
          <w:lang w:eastAsia="zh-CN"/>
        </w:rPr>
        <w:t>不足</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家的。</w:t>
      </w:r>
    </w:p>
    <w:p w14:paraId="28D997C6">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六</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22508BC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14403675">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七</w:t>
      </w:r>
      <w:r>
        <w:rPr>
          <w:rFonts w:hint="eastAsia" w:ascii="宋体" w:hAnsi="宋体" w:cs="宋体"/>
          <w:b/>
          <w:color w:val="auto"/>
          <w:kern w:val="0"/>
          <w:szCs w:val="21"/>
          <w:highlight w:val="none"/>
        </w:rPr>
        <w:t>、成交通知书</w:t>
      </w:r>
    </w:p>
    <w:p w14:paraId="4874794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2D883667">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617C2794">
      <w:pPr>
        <w:ind w:firstLine="420" w:firstLineChars="200"/>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采购人及代理机构对未成交供应商不承担解释未成交原因的义务。</w:t>
      </w:r>
    </w:p>
    <w:p w14:paraId="0CB557AB">
      <w:pPr>
        <w:ind w:firstLine="422" w:firstLineChars="200"/>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八</w:t>
      </w:r>
      <w:r>
        <w:rPr>
          <w:rFonts w:hint="eastAsia" w:ascii="宋体" w:hAnsi="宋体" w:cs="宋体"/>
          <w:b/>
          <w:color w:val="auto"/>
          <w:kern w:val="0"/>
          <w:szCs w:val="21"/>
          <w:highlight w:val="none"/>
        </w:rPr>
        <w:t>、代理机构服务费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344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ADFFF67">
            <w:pPr>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中标金额</w:t>
            </w:r>
          </w:p>
        </w:tc>
        <w:tc>
          <w:tcPr>
            <w:tcW w:w="2183" w:type="pct"/>
            <w:vAlign w:val="center"/>
          </w:tcPr>
          <w:p w14:paraId="2E56000A">
            <w:pPr>
              <w:jc w:val="center"/>
              <w:rPr>
                <w:rFonts w:hint="eastAsia" w:asciiTheme="minorEastAsia" w:hAnsiTheme="minorEastAsia" w:eastAsiaTheme="minorEastAsia" w:cstheme="minorEastAsia"/>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eastAsia="zh-CN"/>
              </w:rPr>
              <w:t>服务费金额</w:t>
            </w:r>
          </w:p>
        </w:tc>
      </w:tr>
      <w:tr w14:paraId="38F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E95D9B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10万元（不含）以下</w:t>
            </w:r>
          </w:p>
        </w:tc>
        <w:tc>
          <w:tcPr>
            <w:tcW w:w="2183" w:type="pct"/>
          </w:tcPr>
          <w:p w14:paraId="05CD885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1000</w:t>
            </w:r>
            <w:r>
              <w:rPr>
                <w:rFonts w:hint="eastAsia" w:asciiTheme="minorEastAsia" w:hAnsiTheme="minorEastAsia" w:eastAsiaTheme="minorEastAsia" w:cstheme="minorEastAsia"/>
                <w:bCs/>
                <w:color w:val="auto"/>
                <w:szCs w:val="21"/>
                <w:highlight w:val="none"/>
                <w:lang w:eastAsia="zh-CN"/>
              </w:rPr>
              <w:t>元</w:t>
            </w:r>
          </w:p>
        </w:tc>
      </w:tr>
      <w:tr w14:paraId="447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35CDCA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10万元（含）至20万元（不含）</w:t>
            </w:r>
          </w:p>
        </w:tc>
        <w:tc>
          <w:tcPr>
            <w:tcW w:w="2183" w:type="pct"/>
          </w:tcPr>
          <w:p w14:paraId="7C89904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1500</w:t>
            </w:r>
            <w:r>
              <w:rPr>
                <w:rFonts w:hint="eastAsia" w:asciiTheme="minorEastAsia" w:hAnsiTheme="minorEastAsia" w:eastAsiaTheme="minorEastAsia" w:cstheme="minorEastAsia"/>
                <w:bCs/>
                <w:color w:val="auto"/>
                <w:szCs w:val="21"/>
                <w:highlight w:val="none"/>
                <w:lang w:eastAsia="zh-CN"/>
              </w:rPr>
              <w:t>元</w:t>
            </w:r>
          </w:p>
        </w:tc>
      </w:tr>
      <w:tr w14:paraId="4AC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23DB890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20万元（含）至30万元（不含）</w:t>
            </w:r>
          </w:p>
        </w:tc>
        <w:tc>
          <w:tcPr>
            <w:tcW w:w="2183" w:type="pct"/>
          </w:tcPr>
          <w:p w14:paraId="3823A6D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2000</w:t>
            </w:r>
            <w:r>
              <w:rPr>
                <w:rFonts w:hint="eastAsia" w:asciiTheme="minorEastAsia" w:hAnsiTheme="minorEastAsia" w:eastAsiaTheme="minorEastAsia" w:cstheme="minorEastAsia"/>
                <w:bCs/>
                <w:color w:val="auto"/>
                <w:szCs w:val="21"/>
                <w:highlight w:val="none"/>
                <w:lang w:eastAsia="zh-CN"/>
              </w:rPr>
              <w:t>元</w:t>
            </w:r>
          </w:p>
        </w:tc>
      </w:tr>
    </w:tbl>
    <w:p w14:paraId="7671467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577794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收款单位：常州市城投建设工程招标有限公司</w:t>
      </w:r>
    </w:p>
    <w:p w14:paraId="29BB3F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开户银行：中国建设银行常州大成苑支行</w:t>
      </w:r>
    </w:p>
    <w:p w14:paraId="24EC641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
          <w:color w:val="auto"/>
          <w:szCs w:val="21"/>
          <w:highlight w:val="none"/>
        </w:rPr>
      </w:pPr>
      <w:r>
        <w:rPr>
          <w:rFonts w:hint="eastAsia" w:ascii="宋体" w:hAnsi="宋体" w:cs="宋体"/>
          <w:b w:val="0"/>
          <w:bCs/>
          <w:color w:val="auto"/>
          <w:szCs w:val="21"/>
          <w:highlight w:val="none"/>
        </w:rPr>
        <w:t>银行账号：32001624236052500905</w:t>
      </w:r>
      <w:r>
        <w:rPr>
          <w:rFonts w:ascii="宋体" w:hAnsi="宋体" w:cs="宋体"/>
          <w:b/>
          <w:color w:val="auto"/>
          <w:szCs w:val="21"/>
          <w:highlight w:val="none"/>
        </w:rPr>
        <mc:AlternateContent>
          <mc:Choice Requires="wps">
            <w:drawing>
              <wp:anchor distT="0" distB="0" distL="114300" distR="114300" simplePos="0" relativeHeight="251662336"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16"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任意多边形 5" o:spid="_x0000_s1026" o:spt="100" style="position:absolute;left:0pt;margin-left:161.85pt;margin-top:17.65pt;height:0.75pt;width:0pt;mso-position-horizontal-relative:page;z-index:-251654144;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Nz7+2qoCAADF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EwoKXYAAAACQEAAA8AAAAAAAAAAQAgAAAAIgAAAGRycy9kb3du&#10;cmV2LnhtbFBLAQIUABQAAAAIAIdO4kA3Pv7aqgIAAMUFAAAOAAAAAAAAAAEAIAAAACcBAABkcnMv&#10;ZTJvRG9jLnhtbFBLBQYAAAAABgAGAFkBAABDBgAAAAA=&#10;" path="m0,0l0,15e">
                <v:path o:connectlocs="0,0;0,7143" o:connectangles="0,0"/>
                <v:fill on="f" focussize="0,0"/>
                <v:stroke weight="0.05pt" color="#000000" joinstyle="round"/>
                <v:imagedata o:title=""/>
                <o:lock v:ext="edit" aspectratio="f"/>
              </v:shape>
            </w:pict>
          </mc:Fallback>
        </mc:AlternateContent>
      </w:r>
    </w:p>
    <w:p w14:paraId="2B3AB8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十、合同签订</w:t>
      </w:r>
    </w:p>
    <w:p w14:paraId="2660C0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成交供应商应当在成交通知书发出之日起30日内与采购人签订采购合同。</w:t>
      </w:r>
    </w:p>
    <w:p w14:paraId="7184DA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询价通知书、供应商的询价响应文件及询价过程中有关澄清、承诺文件均作为合同附件。</w:t>
      </w:r>
    </w:p>
    <w:p w14:paraId="02644B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合同履行中，采购人需追加与合同标的相同的货物或服务的，在不改变合同其他条款的前提下，可以与成交供应商协商签订补充合同，但所有补充合同的采购金额不超过原合同金额10%。</w:t>
      </w:r>
    </w:p>
    <w:p w14:paraId="6A23A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4F9FB6A2">
      <w:pPr>
        <w:ind w:firstLine="422" w:firstLineChars="200"/>
        <w:jc w:val="both"/>
        <w:rPr>
          <w:rFonts w:hint="eastAsia" w:ascii="宋体" w:hAnsi="宋体" w:cs="宋体"/>
          <w:b/>
          <w:color w:val="auto"/>
          <w:sz w:val="30"/>
          <w:szCs w:val="30"/>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val="en-US" w:eastAsia="zh-CN"/>
        </w:rPr>
        <w:t>一</w:t>
      </w:r>
      <w:r>
        <w:rPr>
          <w:rFonts w:hint="eastAsia" w:ascii="宋体" w:hAnsi="宋体" w:cs="宋体"/>
          <w:b/>
          <w:color w:val="auto"/>
          <w:kern w:val="0"/>
          <w:szCs w:val="21"/>
          <w:highlight w:val="none"/>
        </w:rPr>
        <w:t>、合同主要条款</w:t>
      </w:r>
    </w:p>
    <w:p w14:paraId="7DD34E2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color w:val="auto"/>
          <w:szCs w:val="21"/>
          <w:highlight w:val="none"/>
          <w:lang w:val="zh-CN"/>
        </w:rPr>
        <w:t>采购人</w:t>
      </w:r>
      <w:r>
        <w:rPr>
          <w:rFonts w:ascii="宋体" w:hAnsi="宋体" w:cs="宋体"/>
          <w:b/>
          <w:color w:val="auto"/>
          <w:szCs w:val="21"/>
          <w:highlight w:val="none"/>
          <w:lang w:val="zh-CN"/>
        </w:rPr>
        <w:t>（</w:t>
      </w:r>
      <w:r>
        <w:rPr>
          <w:rFonts w:hint="eastAsia" w:ascii="宋体" w:hAnsi="宋体" w:cs="宋体"/>
          <w:b/>
          <w:color w:val="auto"/>
          <w:szCs w:val="21"/>
          <w:highlight w:val="none"/>
          <w:lang w:val="zh-CN"/>
        </w:rPr>
        <w:t>以下</w:t>
      </w:r>
      <w:r>
        <w:rPr>
          <w:rFonts w:ascii="宋体" w:hAnsi="宋体" w:cs="宋体"/>
          <w:b/>
          <w:color w:val="auto"/>
          <w:szCs w:val="21"/>
          <w:highlight w:val="none"/>
          <w:lang w:val="zh-CN"/>
        </w:rPr>
        <w:t>称</w:t>
      </w:r>
      <w:r>
        <w:rPr>
          <w:rFonts w:hint="eastAsia" w:ascii="宋体" w:hAnsi="宋体" w:cs="宋体"/>
          <w:b/>
          <w:color w:val="auto"/>
          <w:szCs w:val="21"/>
          <w:highlight w:val="none"/>
          <w:lang w:val="zh-CN"/>
        </w:rPr>
        <w:t>甲</w:t>
      </w:r>
      <w:r>
        <w:rPr>
          <w:rFonts w:hint="eastAsia" w:ascii="宋体" w:hAnsi="宋体" w:cs="宋体"/>
          <w:b/>
          <w:color w:val="auto"/>
          <w:szCs w:val="21"/>
          <w:highlight w:val="none"/>
        </w:rPr>
        <w:t xml:space="preserve">方）: </w:t>
      </w:r>
      <w:r>
        <w:rPr>
          <w:rFonts w:ascii="宋体" w:hAnsi="宋体" w:cs="宋体"/>
          <w:b/>
          <w:color w:val="auto"/>
          <w:szCs w:val="21"/>
          <w:highlight w:val="none"/>
        </w:rPr>
        <w:t xml:space="preserve">                      </w:t>
      </w:r>
      <w:r>
        <w:rPr>
          <w:rFonts w:hint="eastAsia" w:ascii="宋体" w:hAnsi="宋体" w:cs="宋体" w:eastAsiaTheme="minorEastAsia"/>
          <w:color w:val="auto"/>
          <w:szCs w:val="21"/>
          <w:highlight w:val="none"/>
        </w:rPr>
        <w:t>合同编号：</w:t>
      </w:r>
    </w:p>
    <w:p w14:paraId="06A567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u w:val="single"/>
        </w:rPr>
      </w:pPr>
      <w:r>
        <w:rPr>
          <w:rFonts w:hint="eastAsia" w:ascii="宋体" w:hAnsi="宋体" w:cs="宋体"/>
          <w:b/>
          <w:color w:val="auto"/>
          <w:szCs w:val="21"/>
          <w:highlight w:val="none"/>
        </w:rPr>
        <w:t>供应商</w:t>
      </w:r>
      <w:r>
        <w:rPr>
          <w:rFonts w:ascii="宋体" w:hAnsi="宋体" w:cs="宋体"/>
          <w:b/>
          <w:color w:val="auto"/>
          <w:szCs w:val="21"/>
          <w:highlight w:val="none"/>
        </w:rPr>
        <w:t>（</w:t>
      </w:r>
      <w:r>
        <w:rPr>
          <w:rFonts w:hint="eastAsia" w:ascii="宋体" w:hAnsi="宋体" w:cs="宋体"/>
          <w:b/>
          <w:color w:val="auto"/>
          <w:szCs w:val="21"/>
          <w:highlight w:val="none"/>
          <w:lang w:val="zh-CN"/>
        </w:rPr>
        <w:t>以下</w:t>
      </w:r>
      <w:r>
        <w:rPr>
          <w:rFonts w:ascii="宋体" w:hAnsi="宋体" w:cs="宋体"/>
          <w:b/>
          <w:color w:val="auto"/>
          <w:szCs w:val="21"/>
          <w:highlight w:val="none"/>
          <w:lang w:val="zh-CN"/>
        </w:rPr>
        <w:t>称</w:t>
      </w:r>
      <w:r>
        <w:rPr>
          <w:rFonts w:hint="eastAsia" w:ascii="宋体" w:hAnsi="宋体" w:cs="宋体"/>
          <w:b/>
          <w:color w:val="auto"/>
          <w:szCs w:val="21"/>
          <w:highlight w:val="none"/>
        </w:rPr>
        <w:t>乙方</w:t>
      </w:r>
      <w:r>
        <w:rPr>
          <w:rFonts w:ascii="宋体" w:hAnsi="宋体" w:cs="宋体"/>
          <w:b/>
          <w:color w:val="auto"/>
          <w:szCs w:val="21"/>
          <w:highlight w:val="none"/>
        </w:rPr>
        <w:t>）</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color w:val="auto"/>
          <w:szCs w:val="21"/>
          <w:highlight w:val="none"/>
        </w:rPr>
        <w:t>签订地点：</w:t>
      </w:r>
    </w:p>
    <w:p w14:paraId="3657F450">
      <w:pPr>
        <w:keepNext w:val="0"/>
        <w:keepLines w:val="0"/>
        <w:pageBreakBefore w:val="0"/>
        <w:widowControl w:val="0"/>
        <w:kinsoku/>
        <w:wordWrap/>
        <w:overflowPunct/>
        <w:topLinePunct w:val="0"/>
        <w:autoSpaceDE w:val="0"/>
        <w:autoSpaceDN w:val="0"/>
        <w:bidi w:val="0"/>
        <w:adjustRightInd w:val="0"/>
        <w:snapToGrid/>
        <w:spacing w:line="360" w:lineRule="exact"/>
        <w:ind w:firstLine="4620" w:firstLineChars="2200"/>
        <w:textAlignment w:val="auto"/>
        <w:rPr>
          <w:rFonts w:ascii="宋体" w:hAnsi="宋体" w:cs="宋体"/>
          <w:b/>
          <w:color w:val="auto"/>
          <w:szCs w:val="21"/>
          <w:highlight w:val="none"/>
        </w:rPr>
      </w:pPr>
      <w:r>
        <w:rPr>
          <w:rFonts w:hint="eastAsia" w:ascii="宋体" w:cs="宋体"/>
          <w:color w:val="auto"/>
          <w:szCs w:val="21"/>
          <w:highlight w:val="none"/>
        </w:rPr>
        <w:t xml:space="preserve">合同时间: </w:t>
      </w:r>
      <w:r>
        <w:rPr>
          <w:rFonts w:hint="eastAsia" w:ascii="宋体" w:cs="宋体"/>
          <w:color w:val="auto"/>
          <w:szCs w:val="21"/>
          <w:highlight w:val="none"/>
          <w:u w:val="single"/>
        </w:rPr>
        <w:t xml:space="preserve">    年   月   日</w:t>
      </w:r>
    </w:p>
    <w:p w14:paraId="148804F5">
      <w:pPr>
        <w:keepNext w:val="0"/>
        <w:keepLines w:val="0"/>
        <w:pageBreakBefore w:val="0"/>
        <w:widowControl w:val="0"/>
        <w:kinsoku/>
        <w:wordWrap/>
        <w:overflowPunct/>
        <w:topLinePunct w:val="0"/>
        <w:bidi w:val="0"/>
        <w:snapToGrid/>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甲乙双方依据《中华人民共和国民法典》以及有关法律、法规的规定，经协商一致，订立本合同，以便共同遵守。</w:t>
      </w:r>
    </w:p>
    <w:p w14:paraId="14004D66">
      <w:pPr>
        <w:keepNext w:val="0"/>
        <w:keepLines w:val="0"/>
        <w:pageBreakBefore w:val="0"/>
        <w:widowControl w:val="0"/>
        <w:kinsoku/>
        <w:wordWrap/>
        <w:overflowPunct/>
        <w:topLinePunct w:val="0"/>
        <w:bidi w:val="0"/>
        <w:snapToGrid/>
        <w:spacing w:line="360" w:lineRule="exact"/>
        <w:ind w:firstLine="422" w:firstLineChars="200"/>
        <w:textAlignment w:val="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第一条 合同标的</w:t>
      </w:r>
    </w:p>
    <w:p w14:paraId="044881EA">
      <w:pPr>
        <w:widowControl/>
        <w:adjustRightInd w:val="0"/>
        <w:spacing w:line="360" w:lineRule="exact"/>
        <w:ind w:firstLine="422" w:firstLineChars="201"/>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乙方根据甲方需求提供下列产品：         ，产品名称、规格及数量详见乙方询价响应文件。</w:t>
      </w:r>
    </w:p>
    <w:p w14:paraId="0E0483AB">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第二条 合同价格</w:t>
      </w:r>
    </w:p>
    <w:p w14:paraId="50BBD03D">
      <w:pPr>
        <w:spacing w:line="36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签约合同总价（人民币，下同）：</w:t>
      </w:r>
      <w:r>
        <w:rPr>
          <w:rFonts w:hint="eastAsia" w:cs="宋体" w:asciiTheme="minorEastAsia" w:hAnsiTheme="minorEastAsia" w:eastAsiaTheme="minorEastAsia"/>
          <w:b/>
          <w:color w:val="auto"/>
          <w:szCs w:val="21"/>
          <w:highlight w:val="none"/>
          <w:u w:val="single"/>
        </w:rPr>
        <w:t xml:space="preserve">             元</w:t>
      </w:r>
      <w:r>
        <w:rPr>
          <w:rFonts w:hint="eastAsia" w:cs="宋体" w:asciiTheme="minorEastAsia" w:hAnsiTheme="minorEastAsia" w:eastAsiaTheme="minorEastAsia"/>
          <w:b/>
          <w:color w:val="auto"/>
          <w:szCs w:val="21"/>
          <w:highlight w:val="none"/>
        </w:rPr>
        <w:t xml:space="preserve">（小写       ）。 </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highlight w:val="none"/>
          <w:lang w:eastAsia="zh-CN"/>
        </w:rPr>
      </w:pPr>
      <w:r>
        <w:rPr>
          <w:rFonts w:hint="eastAsia" w:ascii="宋体" w:cs="Arial"/>
          <w:color w:val="auto"/>
          <w:szCs w:val="21"/>
          <w:highlight w:val="none"/>
        </w:rPr>
        <w:t>本项目合同总价包括询价通知书所确定的采购范围相应货物的供货、包装、运输、保险、安装调试管理、劳务、培训、办公设备、设备、工具、耗材、运送工具及耗材、利润、风险、税金及政策性文件规定等各项应有费用，以及为完成该项货物或者服务项目所涉及到的一切相关费用。甲方不再支付其他任何费用。</w:t>
      </w:r>
    </w:p>
    <w:p w14:paraId="689CE88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本合同总价款还包含乙方应当提供的伴随服务/售后服务费用。</w:t>
      </w:r>
    </w:p>
    <w:p w14:paraId="4C862733">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第三条 组成本合同的有关文件</w:t>
      </w:r>
    </w:p>
    <w:p w14:paraId="0369FBA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下列与本次采购活动有关的文件及有关附件是本合同不可分割的组成部分，与本合同具有同等法律效力，这些文件包括但不限于：</w:t>
      </w:r>
    </w:p>
    <w:p w14:paraId="3B3266C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（1）询价通知书（编号：   ）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（2）乙方提供的询价响应文件； </w:t>
      </w:r>
    </w:p>
    <w:p w14:paraId="0D0D2DA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 xml:space="preserve">）成交通知书；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）甲乙双方商定的其他文件等。</w:t>
      </w:r>
    </w:p>
    <w:p w14:paraId="04C119CF">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第四条 合同款结算</w:t>
      </w:r>
      <w:r>
        <w:rPr>
          <w:rFonts w:asciiTheme="minorEastAsia" w:hAnsiTheme="minorEastAsia" w:eastAsiaTheme="minorEastAsia"/>
          <w:b/>
          <w:color w:val="auto"/>
          <w:szCs w:val="21"/>
          <w:highlight w:val="none"/>
        </w:rPr>
        <w:t>及</w:t>
      </w:r>
      <w:r>
        <w:rPr>
          <w:rFonts w:hint="eastAsia" w:asciiTheme="minorEastAsia" w:hAnsiTheme="minorEastAsia" w:eastAsiaTheme="minorEastAsia"/>
          <w:b/>
          <w:color w:val="auto"/>
          <w:szCs w:val="21"/>
          <w:highlight w:val="none"/>
        </w:rPr>
        <w:t>支付</w:t>
      </w:r>
    </w:p>
    <w:p w14:paraId="34979D3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1.本合同项下所有款项均以人民币支付。</w:t>
      </w:r>
    </w:p>
    <w:p w14:paraId="528E23F6">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2.本合同项下的采购资金由甲方自行支付，乙方向甲方开具发票。</w:t>
      </w:r>
    </w:p>
    <w:p w14:paraId="59AA1787">
      <w:pPr>
        <w:adjustRightInd w:val="0"/>
        <w:snapToGrid w:val="0"/>
        <w:spacing w:line="360" w:lineRule="exact"/>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3.结算</w:t>
      </w:r>
      <w:r>
        <w:rPr>
          <w:rFonts w:asciiTheme="minorEastAsia" w:hAnsiTheme="minorEastAsia" w:eastAsiaTheme="minorEastAsia"/>
          <w:color w:val="auto"/>
          <w:szCs w:val="21"/>
          <w:highlight w:val="none"/>
        </w:rPr>
        <w:t>原则：</w:t>
      </w:r>
      <w:r>
        <w:rPr>
          <w:rFonts w:hint="eastAsia" w:asciiTheme="minorEastAsia" w:hAnsiTheme="minorEastAsia" w:eastAsiaTheme="minorEastAsia"/>
          <w:color w:val="auto"/>
          <w:szCs w:val="21"/>
          <w:highlight w:val="none"/>
          <w:lang w:eastAsia="zh-CN"/>
        </w:rPr>
        <w:t>固定总价。</w:t>
      </w:r>
    </w:p>
    <w:p w14:paraId="4980065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.付款方式：</w:t>
      </w:r>
      <w:r>
        <w:rPr>
          <w:rFonts w:hint="eastAsia" w:asciiTheme="minorEastAsia" w:hAnsiTheme="minorEastAsia" w:eastAsiaTheme="minorEastAsia" w:cstheme="minorEastAsia"/>
          <w:bCs/>
          <w:color w:val="auto"/>
          <w:sz w:val="21"/>
          <w:szCs w:val="21"/>
          <w:highlight w:val="none"/>
        </w:rPr>
        <w:t>项目验收合格后，根据审定价一次性支付所有项目款。</w:t>
      </w:r>
    </w:p>
    <w:p w14:paraId="3CA77018">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五</w:t>
      </w:r>
      <w:r>
        <w:rPr>
          <w:rFonts w:hint="eastAsia" w:asciiTheme="minorEastAsia" w:hAnsiTheme="minorEastAsia" w:eastAsiaTheme="minorEastAsia"/>
          <w:b/>
          <w:color w:val="auto"/>
          <w:szCs w:val="21"/>
          <w:highlight w:val="none"/>
        </w:rPr>
        <w:t>条 违约责任</w:t>
      </w:r>
    </w:p>
    <w:p w14:paraId="713DE86D">
      <w:pPr>
        <w:spacing w:line="360" w:lineRule="exact"/>
        <w:ind w:firstLine="420" w:firstLineChars="200"/>
        <w:rPr>
          <w:color w:val="auto"/>
          <w:highlight w:val="none"/>
        </w:rPr>
      </w:pPr>
      <w:r>
        <w:rPr>
          <w:color w:val="auto"/>
          <w:highlight w:val="none"/>
        </w:rPr>
        <w:t>1.</w:t>
      </w:r>
      <w:r>
        <w:rPr>
          <w:rFonts w:hint="eastAsia"/>
          <w:color w:val="auto"/>
          <w:highlight w:val="none"/>
        </w:rPr>
        <w:t>如乙方不能</w:t>
      </w:r>
      <w:r>
        <w:rPr>
          <w:color w:val="auto"/>
          <w:highlight w:val="none"/>
        </w:rPr>
        <w:t>按时</w:t>
      </w:r>
      <w:r>
        <w:rPr>
          <w:rFonts w:hint="eastAsia"/>
          <w:color w:val="auto"/>
          <w:highlight w:val="none"/>
        </w:rPr>
        <w:t>交付货物完成安装调试的，每逾期</w:t>
      </w:r>
      <w:r>
        <w:rPr>
          <w:color w:val="auto"/>
          <w:highlight w:val="none"/>
        </w:rPr>
        <w:t>1</w:t>
      </w:r>
      <w:r>
        <w:rPr>
          <w:rFonts w:hint="eastAsia"/>
          <w:color w:val="auto"/>
          <w:highlight w:val="none"/>
        </w:rPr>
        <w:t>天，乙方向甲方偿付合同总额</w:t>
      </w:r>
      <w:r>
        <w:rPr>
          <w:color w:val="auto"/>
          <w:highlight w:val="none"/>
        </w:rPr>
        <w:t>5</w:t>
      </w:r>
      <w:r>
        <w:rPr>
          <w:rFonts w:hint="eastAsia"/>
          <w:color w:val="auto"/>
          <w:highlight w:val="none"/>
        </w:rPr>
        <w:t>‰的违约金</w:t>
      </w:r>
      <w:r>
        <w:rPr>
          <w:color w:val="auto"/>
          <w:highlight w:val="none"/>
        </w:rPr>
        <w:t>；</w:t>
      </w:r>
      <w:r>
        <w:rPr>
          <w:rFonts w:hint="eastAsia"/>
          <w:color w:val="auto"/>
          <w:highlight w:val="none"/>
        </w:rPr>
        <w:t>乙方</w:t>
      </w:r>
      <w:r>
        <w:rPr>
          <w:color w:val="auto"/>
          <w:highlight w:val="none"/>
        </w:rPr>
        <w:t>逾期交付货物或完成安装调试超过10</w:t>
      </w:r>
      <w:r>
        <w:rPr>
          <w:rFonts w:hint="eastAsia"/>
          <w:color w:val="auto"/>
          <w:highlight w:val="none"/>
        </w:rPr>
        <w:t>天</w:t>
      </w:r>
      <w:r>
        <w:rPr>
          <w:color w:val="auto"/>
          <w:highlight w:val="none"/>
        </w:rPr>
        <w:t>（</w:t>
      </w:r>
      <w:r>
        <w:rPr>
          <w:rFonts w:hint="eastAsia"/>
          <w:color w:val="auto"/>
          <w:highlight w:val="none"/>
        </w:rPr>
        <w:t>含</w:t>
      </w:r>
      <w:r>
        <w:rPr>
          <w:color w:val="auto"/>
          <w:highlight w:val="none"/>
        </w:rPr>
        <w:t>10</w:t>
      </w:r>
      <w:r>
        <w:rPr>
          <w:rFonts w:hint="eastAsia"/>
          <w:color w:val="auto"/>
          <w:highlight w:val="none"/>
        </w:rPr>
        <w:t>天</w:t>
      </w:r>
      <w:r>
        <w:rPr>
          <w:color w:val="auto"/>
          <w:highlight w:val="none"/>
        </w:rPr>
        <w:t>），</w:t>
      </w:r>
      <w:r>
        <w:rPr>
          <w:rFonts w:hint="eastAsia"/>
          <w:color w:val="auto"/>
          <w:highlight w:val="none"/>
        </w:rPr>
        <w:t>甲方有权解除合同，</w:t>
      </w:r>
      <w:r>
        <w:rPr>
          <w:color w:val="auto"/>
          <w:highlight w:val="none"/>
        </w:rPr>
        <w:t>同时有权要求乙方按照</w:t>
      </w:r>
      <w:r>
        <w:rPr>
          <w:rFonts w:hint="eastAsia"/>
          <w:color w:val="auto"/>
          <w:highlight w:val="none"/>
        </w:rPr>
        <w:t>合同总价</w:t>
      </w:r>
      <w:r>
        <w:rPr>
          <w:color w:val="auto"/>
          <w:highlight w:val="none"/>
        </w:rPr>
        <w:t>5%</w:t>
      </w:r>
      <w:r>
        <w:rPr>
          <w:rFonts w:hint="eastAsia"/>
          <w:color w:val="auto"/>
          <w:highlight w:val="none"/>
        </w:rPr>
        <w:t>的</w:t>
      </w:r>
      <w:r>
        <w:rPr>
          <w:color w:val="auto"/>
          <w:highlight w:val="none"/>
        </w:rPr>
        <w:t>标准支付</w:t>
      </w:r>
      <w:r>
        <w:rPr>
          <w:rFonts w:hint="eastAsia"/>
          <w:color w:val="auto"/>
          <w:highlight w:val="none"/>
        </w:rPr>
        <w:t>违约金</w:t>
      </w:r>
      <w:r>
        <w:rPr>
          <w:color w:val="auto"/>
          <w:highlight w:val="none"/>
        </w:rPr>
        <w:t>，</w:t>
      </w:r>
      <w:r>
        <w:rPr>
          <w:rFonts w:hint="eastAsia"/>
          <w:color w:val="auto"/>
          <w:highlight w:val="none"/>
        </w:rPr>
        <w:t>解除合同的通知自</w:t>
      </w:r>
      <w:r>
        <w:rPr>
          <w:color w:val="auto"/>
          <w:highlight w:val="none"/>
        </w:rPr>
        <w:t>发出之日</w:t>
      </w:r>
      <w:r>
        <w:rPr>
          <w:rFonts w:hint="eastAsia"/>
          <w:color w:val="auto"/>
          <w:highlight w:val="none"/>
        </w:rPr>
        <w:t>生效。</w:t>
      </w:r>
    </w:p>
    <w:p w14:paraId="21B04F5C">
      <w:pPr>
        <w:spacing w:line="360" w:lineRule="exact"/>
        <w:ind w:firstLine="420" w:firstLineChars="200"/>
        <w:rPr>
          <w:color w:val="auto"/>
          <w:highlight w:val="none"/>
        </w:rPr>
      </w:pPr>
      <w:r>
        <w:rPr>
          <w:color w:val="auto"/>
          <w:highlight w:val="none"/>
        </w:rPr>
        <w:t>2.</w:t>
      </w:r>
      <w:r>
        <w:rPr>
          <w:rFonts w:hint="eastAsia"/>
          <w:color w:val="auto"/>
          <w:highlight w:val="none"/>
        </w:rPr>
        <w:t>甲方未按合同规定的期限向乙方支付货款的，每逾期</w:t>
      </w:r>
      <w:r>
        <w:rPr>
          <w:color w:val="auto"/>
          <w:highlight w:val="none"/>
        </w:rPr>
        <w:t>1</w:t>
      </w:r>
      <w:r>
        <w:rPr>
          <w:rFonts w:hint="eastAsia"/>
          <w:color w:val="auto"/>
          <w:highlight w:val="none"/>
        </w:rPr>
        <w:t>天甲方向乙方偿付欠款总额的</w:t>
      </w:r>
      <w:r>
        <w:rPr>
          <w:color w:val="auto"/>
          <w:highlight w:val="none"/>
        </w:rPr>
        <w:t>5</w:t>
      </w:r>
      <w:r>
        <w:rPr>
          <w:rFonts w:hint="eastAsia"/>
          <w:color w:val="auto"/>
          <w:highlight w:val="none"/>
        </w:rPr>
        <w:t>‰滞纳金，但累计滞纳金总额不超过欠款总额的</w:t>
      </w:r>
      <w:r>
        <w:rPr>
          <w:color w:val="auto"/>
          <w:highlight w:val="none"/>
        </w:rPr>
        <w:t xml:space="preserve">5% </w:t>
      </w:r>
      <w:r>
        <w:rPr>
          <w:rFonts w:hint="eastAsia"/>
          <w:color w:val="auto"/>
          <w:highlight w:val="none"/>
        </w:rPr>
        <w:t>。</w:t>
      </w:r>
    </w:p>
    <w:p w14:paraId="79E343C3">
      <w:pPr>
        <w:spacing w:line="360" w:lineRule="exact"/>
        <w:ind w:firstLine="420" w:firstLineChars="200"/>
        <w:rPr>
          <w:color w:val="auto"/>
          <w:highlight w:val="none"/>
        </w:rPr>
      </w:pPr>
      <w:r>
        <w:rPr>
          <w:color w:val="auto"/>
          <w:highlight w:val="none"/>
        </w:rPr>
        <w:t>3.</w:t>
      </w:r>
      <w:r>
        <w:rPr>
          <w:rFonts w:hint="eastAsia"/>
          <w:color w:val="auto"/>
          <w:highlight w:val="none"/>
        </w:rPr>
        <w:t>乙方所交付的货物品种、型号、规格不符合合同规定的，甲方有权拒收</w:t>
      </w:r>
      <w:r>
        <w:rPr>
          <w:color w:val="auto"/>
          <w:highlight w:val="none"/>
        </w:rPr>
        <w:t>，</w:t>
      </w:r>
      <w:r>
        <w:rPr>
          <w:rFonts w:hint="eastAsia"/>
          <w:color w:val="auto"/>
          <w:highlight w:val="none"/>
        </w:rPr>
        <w:t>同时</w:t>
      </w:r>
      <w:r>
        <w:rPr>
          <w:color w:val="auto"/>
          <w:highlight w:val="none"/>
        </w:rPr>
        <w:t>有权解除合同，</w:t>
      </w:r>
      <w:r>
        <w:rPr>
          <w:rFonts w:hint="eastAsia"/>
          <w:color w:val="auto"/>
          <w:highlight w:val="none"/>
        </w:rPr>
        <w:t>解除合同的通知自</w:t>
      </w:r>
      <w:r>
        <w:rPr>
          <w:color w:val="auto"/>
          <w:highlight w:val="none"/>
        </w:rPr>
        <w:t>发出之日</w:t>
      </w:r>
      <w:r>
        <w:rPr>
          <w:rFonts w:hint="eastAsia"/>
          <w:color w:val="auto"/>
          <w:highlight w:val="none"/>
        </w:rPr>
        <w:t>生效</w:t>
      </w:r>
      <w:r>
        <w:rPr>
          <w:color w:val="auto"/>
          <w:highlight w:val="none"/>
        </w:rPr>
        <w:t>。</w:t>
      </w:r>
    </w:p>
    <w:p w14:paraId="0131AED7">
      <w:pPr>
        <w:spacing w:line="360" w:lineRule="exact"/>
        <w:ind w:firstLine="420" w:firstLineChars="200"/>
        <w:rPr>
          <w:color w:val="auto"/>
          <w:highlight w:val="none"/>
        </w:rPr>
      </w:pPr>
      <w:r>
        <w:rPr>
          <w:color w:val="auto"/>
          <w:highlight w:val="none"/>
        </w:rPr>
        <w:t>4.</w:t>
      </w:r>
      <w:r>
        <w:rPr>
          <w:rFonts w:hint="eastAsia"/>
          <w:color w:val="auto"/>
          <w:highlight w:val="none"/>
        </w:rPr>
        <w:t>在乙方承诺的或国家规定的质量保证期内（取两者中最长的期限），如经乙方两次维修或更换，货物仍不能达到合同约定的质量标准、运行效果的，甲方有权</w:t>
      </w:r>
      <w:r>
        <w:rPr>
          <w:color w:val="auto"/>
          <w:highlight w:val="none"/>
        </w:rPr>
        <w:t>要求</w:t>
      </w:r>
      <w:r>
        <w:rPr>
          <w:rFonts w:hint="eastAsia"/>
          <w:color w:val="auto"/>
          <w:highlight w:val="none"/>
        </w:rPr>
        <w:t>退货，乙方应退回全部货款，</w:t>
      </w:r>
      <w:r>
        <w:rPr>
          <w:color w:val="auto"/>
          <w:highlight w:val="none"/>
        </w:rPr>
        <w:t>同时甲方有权按照本条第1</w:t>
      </w:r>
      <w:r>
        <w:rPr>
          <w:rFonts w:hint="eastAsia"/>
          <w:color w:val="auto"/>
          <w:highlight w:val="none"/>
        </w:rPr>
        <w:t>点向</w:t>
      </w:r>
      <w:r>
        <w:rPr>
          <w:color w:val="auto"/>
          <w:highlight w:val="none"/>
        </w:rPr>
        <w:t>乙方主张违约金</w:t>
      </w:r>
      <w:r>
        <w:rPr>
          <w:rFonts w:hint="eastAsia"/>
          <w:color w:val="auto"/>
          <w:highlight w:val="none"/>
        </w:rPr>
        <w:t>，</w:t>
      </w:r>
      <w:r>
        <w:rPr>
          <w:color w:val="auto"/>
          <w:highlight w:val="none"/>
        </w:rPr>
        <w:t>若仍不足以弥补甲方损失，</w:t>
      </w:r>
      <w:r>
        <w:rPr>
          <w:rFonts w:hint="eastAsia"/>
          <w:color w:val="auto"/>
          <w:highlight w:val="none"/>
        </w:rPr>
        <w:t>则乙方还须赔偿甲方因此遭受的</w:t>
      </w:r>
      <w:r>
        <w:rPr>
          <w:color w:val="auto"/>
          <w:highlight w:val="none"/>
        </w:rPr>
        <w:t>所有</w:t>
      </w:r>
      <w:r>
        <w:rPr>
          <w:rFonts w:hint="eastAsia"/>
          <w:color w:val="auto"/>
          <w:highlight w:val="none"/>
        </w:rPr>
        <w:t>损失。</w:t>
      </w:r>
    </w:p>
    <w:p w14:paraId="3CC3DF47">
      <w:pPr>
        <w:spacing w:line="360" w:lineRule="exact"/>
        <w:ind w:firstLine="420" w:firstLineChars="200"/>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乙方未按本合同的规定和“服务承诺”提供伴随服务</w:t>
      </w:r>
      <w:r>
        <w:rPr>
          <w:color w:val="auto"/>
          <w:highlight w:val="none"/>
        </w:rPr>
        <w:t>/</w:t>
      </w:r>
      <w:r>
        <w:rPr>
          <w:rFonts w:hint="eastAsia"/>
          <w:color w:val="auto"/>
          <w:highlight w:val="none"/>
        </w:rPr>
        <w:t>售后服务的，</w:t>
      </w:r>
      <w:r>
        <w:rPr>
          <w:color w:val="auto"/>
          <w:highlight w:val="none"/>
        </w:rPr>
        <w:t>甲方有权提前解除本合同，</w:t>
      </w:r>
      <w:r>
        <w:rPr>
          <w:rFonts w:hint="eastAsia"/>
          <w:color w:val="auto"/>
          <w:highlight w:val="none"/>
        </w:rPr>
        <w:t>同时</w:t>
      </w:r>
      <w:r>
        <w:rPr>
          <w:color w:val="auto"/>
          <w:highlight w:val="none"/>
        </w:rPr>
        <w:t>乙方</w:t>
      </w:r>
      <w:r>
        <w:rPr>
          <w:rFonts w:hint="eastAsia"/>
          <w:color w:val="auto"/>
          <w:highlight w:val="none"/>
        </w:rPr>
        <w:t>应按合同总价款的</w:t>
      </w:r>
      <w:r>
        <w:rPr>
          <w:color w:val="auto"/>
          <w:highlight w:val="none"/>
        </w:rPr>
        <w:t>5 %</w:t>
      </w:r>
      <w:r>
        <w:rPr>
          <w:rFonts w:hint="eastAsia"/>
          <w:color w:val="auto"/>
          <w:highlight w:val="none"/>
        </w:rPr>
        <w:t>向甲方承担违约责任。</w:t>
      </w:r>
    </w:p>
    <w:p w14:paraId="1A53D7E8">
      <w:pPr>
        <w:spacing w:line="360" w:lineRule="exact"/>
        <w:ind w:firstLine="420" w:firstLineChars="200"/>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64B95B08">
      <w:pPr>
        <w:spacing w:line="360" w:lineRule="exact"/>
        <w:ind w:firstLine="420" w:firstLineChars="20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乙方投标属虚假承诺，或经权威部门监测提供的货物不能满足询价通知书要求，或是由于乙方的过错造成合同无法继续履行的，乙方应向甲方支付不少于合同总价</w:t>
      </w:r>
      <w:r>
        <w:rPr>
          <w:color w:val="auto"/>
          <w:highlight w:val="none"/>
        </w:rPr>
        <w:t>30%违约</w:t>
      </w:r>
      <w:r>
        <w:rPr>
          <w:rFonts w:hint="eastAsia"/>
          <w:color w:val="auto"/>
          <w:highlight w:val="none"/>
        </w:rPr>
        <w:t>金</w:t>
      </w:r>
      <w:r>
        <w:rPr>
          <w:color w:val="auto"/>
          <w:highlight w:val="none"/>
        </w:rPr>
        <w:t>，</w:t>
      </w:r>
      <w:r>
        <w:rPr>
          <w:rFonts w:hint="eastAsia"/>
          <w:color w:val="auto"/>
          <w:highlight w:val="none"/>
        </w:rPr>
        <w:t>若</w:t>
      </w:r>
      <w:r>
        <w:rPr>
          <w:color w:val="auto"/>
          <w:highlight w:val="none"/>
        </w:rPr>
        <w:t>该违约金</w:t>
      </w:r>
      <w:r>
        <w:rPr>
          <w:rFonts w:hint="eastAsia"/>
          <w:color w:val="auto"/>
          <w:highlight w:val="none"/>
        </w:rPr>
        <w:t>不足以</w:t>
      </w:r>
      <w:r>
        <w:rPr>
          <w:color w:val="auto"/>
          <w:highlight w:val="none"/>
        </w:rPr>
        <w:t>弥补甲方损失，</w:t>
      </w:r>
      <w:r>
        <w:rPr>
          <w:rFonts w:hint="eastAsia"/>
          <w:color w:val="auto"/>
          <w:highlight w:val="none"/>
        </w:rPr>
        <w:t>则应当</w:t>
      </w:r>
      <w:r>
        <w:rPr>
          <w:color w:val="auto"/>
          <w:highlight w:val="none"/>
        </w:rPr>
        <w:t>赔偿甲方所有损失</w:t>
      </w:r>
      <w:r>
        <w:rPr>
          <w:rFonts w:hint="eastAsia"/>
          <w:color w:val="auto"/>
          <w:highlight w:val="none"/>
        </w:rPr>
        <w:t>。</w:t>
      </w:r>
    </w:p>
    <w:p w14:paraId="73ED0435">
      <w:pPr>
        <w:spacing w:line="360" w:lineRule="exact"/>
        <w:ind w:firstLine="420" w:firstLineChars="200"/>
        <w:rPr>
          <w:color w:val="auto"/>
          <w:highlight w:val="none"/>
        </w:rPr>
      </w:pPr>
      <w:r>
        <w:rPr>
          <w:rFonts w:hint="eastAsia"/>
          <w:color w:val="auto"/>
          <w:highlight w:val="none"/>
          <w:lang w:val="en-US" w:eastAsia="zh-CN"/>
        </w:rPr>
        <w:t>8</w:t>
      </w:r>
      <w:r>
        <w:rPr>
          <w:color w:val="auto"/>
          <w:highlight w:val="none"/>
        </w:rPr>
        <w:t>.</w:t>
      </w:r>
      <w:r>
        <w:rPr>
          <w:rFonts w:hint="eastAsia"/>
          <w:color w:val="auto"/>
          <w:highlight w:val="none"/>
        </w:rPr>
        <w:t>其他未尽事宜，以《民法典》等有关法律法规规定为准，无相关规定的，双方协商解决。</w:t>
      </w:r>
    </w:p>
    <w:p w14:paraId="4B3C6BCA">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六</w:t>
      </w:r>
      <w:r>
        <w:rPr>
          <w:rFonts w:hint="eastAsia" w:asciiTheme="minorEastAsia" w:hAnsiTheme="minorEastAsia" w:eastAsiaTheme="minorEastAsia"/>
          <w:b/>
          <w:color w:val="auto"/>
          <w:szCs w:val="21"/>
          <w:highlight w:val="none"/>
        </w:rPr>
        <w:t>条 合同的变更和终止</w:t>
      </w:r>
    </w:p>
    <w:p w14:paraId="08F16E26">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1.本合同一经签订，甲乙双方不得擅自变更、中止或终止合同。</w:t>
      </w:r>
    </w:p>
    <w:p w14:paraId="693E2EA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2.除发生法律规定的不能预见、不能避免并不能克服的客观情况外，甲乙双方不得放弃或拒绝履行合同。</w:t>
      </w:r>
    </w:p>
    <w:p w14:paraId="35A51867">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七</w:t>
      </w:r>
      <w:r>
        <w:rPr>
          <w:rFonts w:hint="eastAsia" w:asciiTheme="minorEastAsia" w:hAnsiTheme="minorEastAsia" w:eastAsiaTheme="minorEastAsia"/>
          <w:b/>
          <w:color w:val="auto"/>
          <w:szCs w:val="21"/>
          <w:highlight w:val="none"/>
        </w:rPr>
        <w:t>条 合同的转让</w:t>
      </w:r>
    </w:p>
    <w:p w14:paraId="490A167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乙方不得擅自部分或全部转让其应履行的合同义务。</w:t>
      </w:r>
    </w:p>
    <w:p w14:paraId="4CA09DAC">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八</w:t>
      </w:r>
      <w:r>
        <w:rPr>
          <w:rFonts w:hint="eastAsia" w:asciiTheme="minorEastAsia" w:hAnsiTheme="minorEastAsia" w:eastAsiaTheme="minorEastAsia"/>
          <w:b/>
          <w:color w:val="auto"/>
          <w:szCs w:val="21"/>
          <w:highlight w:val="none"/>
        </w:rPr>
        <w:t>条 不可抗力</w:t>
      </w:r>
    </w:p>
    <w:p w14:paraId="7B221D6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甲、乙方中任何一方，因不可抗力不能按时或完全履行合同的，应及时通知对方，并在</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个</w:t>
      </w:r>
      <w:r>
        <w:rPr>
          <w:rFonts w:hint="eastAsia" w:asciiTheme="minorEastAsia" w:hAnsiTheme="minorEastAsia" w:eastAsiaTheme="minorEastAsia"/>
          <w:color w:val="auto"/>
          <w:szCs w:val="21"/>
          <w:highlight w:val="none"/>
        </w:rPr>
        <w:t>工作日内提供相应证明。未履行完合同部分是否继续履行、如何履行等问题，可由双方初步协商，并向主管部门报告。确定为不可抗力原因造成的损失，免予承担责任。</w:t>
      </w:r>
    </w:p>
    <w:p w14:paraId="3AFAF137">
      <w:pPr>
        <w:adjustRightInd w:val="0"/>
        <w:snapToGrid w:val="0"/>
        <w:spacing w:line="360" w:lineRule="exact"/>
        <w:ind w:firstLine="424" w:firstLineChars="20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九</w:t>
      </w:r>
      <w:r>
        <w:rPr>
          <w:rFonts w:hint="eastAsia" w:asciiTheme="minorEastAsia" w:hAnsiTheme="minorEastAsia" w:eastAsiaTheme="minorEastAsia"/>
          <w:b/>
          <w:color w:val="auto"/>
          <w:szCs w:val="21"/>
          <w:highlight w:val="none"/>
        </w:rPr>
        <w:t xml:space="preserve">条 </w:t>
      </w:r>
      <w:r>
        <w:rPr>
          <w:rFonts w:asciiTheme="minorEastAsia" w:hAnsiTheme="minorEastAsia" w:eastAsiaTheme="minorEastAsia"/>
          <w:b/>
          <w:color w:val="auto"/>
          <w:szCs w:val="21"/>
          <w:highlight w:val="none"/>
        </w:rPr>
        <w:t>质量问题或缺陷的</w:t>
      </w:r>
      <w:r>
        <w:rPr>
          <w:rFonts w:hint="eastAsia" w:asciiTheme="minorEastAsia" w:hAnsiTheme="minorEastAsia" w:eastAsiaTheme="minorEastAsia"/>
          <w:b/>
          <w:color w:val="auto"/>
          <w:szCs w:val="21"/>
          <w:highlight w:val="none"/>
        </w:rPr>
        <w:t>索赔</w:t>
      </w:r>
    </w:p>
    <w:p w14:paraId="11084BFE">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乙方</w:t>
      </w:r>
      <w:r>
        <w:rPr>
          <w:rFonts w:hint="eastAsia" w:asciiTheme="minorEastAsia" w:hAnsiTheme="minorEastAsia" w:eastAsiaTheme="minorEastAsia"/>
          <w:color w:val="auto"/>
          <w:szCs w:val="21"/>
          <w:highlight w:val="none"/>
        </w:rPr>
        <w:t>交付</w:t>
      </w:r>
      <w:r>
        <w:rPr>
          <w:rFonts w:asciiTheme="minorEastAsia" w:hAnsiTheme="minorEastAsia" w:eastAsiaTheme="minorEastAsia"/>
          <w:color w:val="auto"/>
          <w:szCs w:val="21"/>
          <w:highlight w:val="none"/>
        </w:rPr>
        <w:t>货物后，甲方发现</w:t>
      </w:r>
      <w:r>
        <w:rPr>
          <w:rFonts w:hint="eastAsia" w:asciiTheme="minorEastAsia" w:hAnsiTheme="minorEastAsia" w:eastAsiaTheme="minorEastAsia"/>
          <w:color w:val="auto"/>
          <w:szCs w:val="21"/>
          <w:highlight w:val="none"/>
        </w:rPr>
        <w:t>货物</w:t>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质量</w:t>
      </w:r>
      <w:r>
        <w:rPr>
          <w:rFonts w:asciiTheme="minorEastAsia" w:hAnsiTheme="minorEastAsia" w:eastAsiaTheme="minorEastAsia"/>
          <w:color w:val="auto"/>
          <w:szCs w:val="21"/>
          <w:highlight w:val="none"/>
        </w:rPr>
        <w:t>与合同内容不符或证实</w:t>
      </w:r>
      <w:r>
        <w:rPr>
          <w:rFonts w:hint="eastAsia" w:asciiTheme="minorEastAsia" w:hAnsiTheme="minorEastAsia" w:eastAsiaTheme="minorEastAsia"/>
          <w:color w:val="auto"/>
          <w:szCs w:val="21"/>
          <w:highlight w:val="none"/>
        </w:rPr>
        <w:t>货物存在</w:t>
      </w:r>
      <w:r>
        <w:rPr>
          <w:rFonts w:asciiTheme="minorEastAsia" w:hAnsiTheme="minorEastAsia" w:eastAsiaTheme="minorEastAsia"/>
          <w:color w:val="auto"/>
          <w:szCs w:val="21"/>
          <w:highlight w:val="none"/>
        </w:rPr>
        <w:t>缺陷的</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包括潜在缺陷</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，乙方应在收到甲方索赔通知后3</w:t>
      </w:r>
      <w:r>
        <w:rPr>
          <w:rFonts w:hint="eastAsia" w:asciiTheme="minorEastAsia" w:hAnsiTheme="minorEastAsia" w:eastAsiaTheme="minorEastAsia"/>
          <w:color w:val="auto"/>
          <w:szCs w:val="21"/>
          <w:highlight w:val="none"/>
        </w:rPr>
        <w:t>日</w:t>
      </w:r>
      <w:r>
        <w:rPr>
          <w:rFonts w:asciiTheme="minorEastAsia" w:hAnsiTheme="minorEastAsia" w:eastAsiaTheme="minorEastAsia"/>
          <w:color w:val="auto"/>
          <w:szCs w:val="21"/>
          <w:highlight w:val="none"/>
        </w:rPr>
        <w:t>内到甲方</w:t>
      </w:r>
      <w:r>
        <w:rPr>
          <w:rFonts w:hint="eastAsia" w:asciiTheme="minorEastAsia" w:hAnsiTheme="minorEastAsia" w:eastAsiaTheme="minorEastAsia"/>
          <w:color w:val="auto"/>
          <w:szCs w:val="21"/>
          <w:highlight w:val="none"/>
        </w:rPr>
        <w:t>处</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商量</w:t>
      </w:r>
      <w:r>
        <w:rPr>
          <w:rFonts w:asciiTheme="minorEastAsia" w:hAnsiTheme="minorEastAsia" w:eastAsiaTheme="minorEastAsia"/>
          <w:color w:val="auto"/>
          <w:szCs w:val="21"/>
          <w:highlight w:val="none"/>
        </w:rPr>
        <w:t>解决货物</w:t>
      </w:r>
      <w:r>
        <w:rPr>
          <w:rFonts w:hint="eastAsia" w:asciiTheme="minorEastAsia" w:hAnsiTheme="minorEastAsia" w:eastAsiaTheme="minorEastAsia"/>
          <w:color w:val="auto"/>
          <w:szCs w:val="21"/>
          <w:highlight w:val="none"/>
        </w:rPr>
        <w:t>质量</w:t>
      </w:r>
      <w:r>
        <w:rPr>
          <w:rFonts w:asciiTheme="minorEastAsia" w:hAnsiTheme="minorEastAsia" w:eastAsiaTheme="minorEastAsia"/>
          <w:color w:val="auto"/>
          <w:szCs w:val="21"/>
          <w:highlight w:val="none"/>
        </w:rPr>
        <w:t>或缺陷问题。若乙方未</w:t>
      </w:r>
      <w:r>
        <w:rPr>
          <w:rFonts w:hint="eastAsia" w:asciiTheme="minorEastAsia" w:hAnsiTheme="minorEastAsia" w:eastAsiaTheme="minorEastAsia"/>
          <w:color w:val="auto"/>
          <w:szCs w:val="21"/>
          <w:highlight w:val="none"/>
        </w:rPr>
        <w:t>在</w:t>
      </w:r>
      <w:r>
        <w:rPr>
          <w:rFonts w:asciiTheme="minorEastAsia" w:hAnsiTheme="minorEastAsia" w:eastAsiaTheme="minorEastAsia"/>
          <w:color w:val="auto"/>
          <w:szCs w:val="21"/>
          <w:highlight w:val="none"/>
        </w:rPr>
        <w:t>上述约定时间</w:t>
      </w:r>
      <w:r>
        <w:rPr>
          <w:rFonts w:hint="eastAsia" w:asciiTheme="minorEastAsia" w:hAnsiTheme="minorEastAsia" w:eastAsiaTheme="minorEastAsia"/>
          <w:color w:val="auto"/>
          <w:szCs w:val="21"/>
          <w:highlight w:val="none"/>
        </w:rPr>
        <w:t>内</w:t>
      </w:r>
      <w:r>
        <w:rPr>
          <w:rFonts w:asciiTheme="minorEastAsia" w:hAnsiTheme="minorEastAsia" w:eastAsiaTheme="minorEastAsia"/>
          <w:color w:val="auto"/>
          <w:szCs w:val="21"/>
          <w:highlight w:val="none"/>
        </w:rPr>
        <w:t>到场解决，</w:t>
      </w:r>
      <w:r>
        <w:rPr>
          <w:rFonts w:hint="eastAsia" w:asciiTheme="minorEastAsia" w:hAnsiTheme="minorEastAsia" w:eastAsiaTheme="minorEastAsia"/>
          <w:color w:val="auto"/>
          <w:szCs w:val="21"/>
          <w:highlight w:val="none"/>
        </w:rPr>
        <w:t>因此</w:t>
      </w:r>
      <w:r>
        <w:rPr>
          <w:rFonts w:asciiTheme="minorEastAsia" w:hAnsiTheme="minorEastAsia" w:eastAsiaTheme="minorEastAsia"/>
          <w:color w:val="auto"/>
          <w:szCs w:val="21"/>
          <w:highlight w:val="none"/>
        </w:rPr>
        <w:t>产生的损失以及扩大损失全部由乙方承担，</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有权选择</w:t>
      </w:r>
      <w:r>
        <w:rPr>
          <w:rFonts w:hint="eastAsia" w:asciiTheme="minorEastAsia" w:hAnsiTheme="minorEastAsia" w:eastAsiaTheme="minorEastAsia"/>
          <w:color w:val="auto"/>
          <w:szCs w:val="21"/>
          <w:highlight w:val="none"/>
        </w:rPr>
        <w:t>解除</w:t>
      </w:r>
      <w:r>
        <w:rPr>
          <w:rFonts w:asciiTheme="minorEastAsia" w:hAnsiTheme="minorEastAsia" w:eastAsiaTheme="minorEastAsia"/>
          <w:color w:val="auto"/>
          <w:szCs w:val="21"/>
          <w:highlight w:val="none"/>
        </w:rPr>
        <w:t>合同，</w:t>
      </w:r>
      <w:r>
        <w:rPr>
          <w:rFonts w:hint="eastAsia" w:asciiTheme="minorEastAsia" w:hAnsiTheme="minorEastAsia" w:eastAsiaTheme="minorEastAsia"/>
          <w:color w:val="auto"/>
          <w:szCs w:val="21"/>
          <w:highlight w:val="none"/>
        </w:rPr>
        <w:t>要求退还</w:t>
      </w:r>
      <w:r>
        <w:rPr>
          <w:rFonts w:asciiTheme="minorEastAsia" w:hAnsiTheme="minorEastAsia" w:eastAsiaTheme="minorEastAsia"/>
          <w:color w:val="auto"/>
          <w:szCs w:val="21"/>
          <w:highlight w:val="none"/>
        </w:rPr>
        <w:t>全部货物，</w:t>
      </w:r>
      <w:r>
        <w:rPr>
          <w:rFonts w:hint="eastAsia" w:asciiTheme="minorEastAsia" w:hAnsiTheme="minorEastAsia" w:eastAsiaTheme="minorEastAsia"/>
          <w:color w:val="auto"/>
          <w:szCs w:val="21"/>
          <w:highlight w:val="none"/>
        </w:rPr>
        <w:t>返还</w:t>
      </w:r>
      <w:r>
        <w:rPr>
          <w:rFonts w:asciiTheme="minorEastAsia" w:hAnsiTheme="minorEastAsia" w:eastAsiaTheme="minorEastAsia"/>
          <w:color w:val="auto"/>
          <w:szCs w:val="21"/>
          <w:highlight w:val="none"/>
        </w:rPr>
        <w:t>所有货款，</w:t>
      </w:r>
      <w:r>
        <w:rPr>
          <w:rFonts w:hint="eastAsia" w:asciiTheme="minorEastAsia" w:hAnsiTheme="minorEastAsia" w:eastAsiaTheme="minorEastAsia"/>
          <w:color w:val="auto"/>
          <w:szCs w:val="21"/>
          <w:highlight w:val="none"/>
        </w:rPr>
        <w:t>并</w:t>
      </w:r>
      <w:r>
        <w:rPr>
          <w:rFonts w:asciiTheme="minorEastAsia" w:hAnsiTheme="minorEastAsia" w:eastAsiaTheme="minorEastAsia"/>
          <w:color w:val="auto"/>
          <w:szCs w:val="21"/>
          <w:highlight w:val="none"/>
        </w:rPr>
        <w:t>有权按照合同总额5%</w:t>
      </w:r>
      <w:r>
        <w:rPr>
          <w:rFonts w:hint="eastAsia" w:asciiTheme="minorEastAsia" w:hAnsiTheme="minorEastAsia" w:eastAsiaTheme="minorEastAsia"/>
          <w:color w:val="auto"/>
          <w:szCs w:val="21"/>
          <w:highlight w:val="none"/>
        </w:rPr>
        <w:t>标准</w:t>
      </w:r>
      <w:r>
        <w:rPr>
          <w:rFonts w:asciiTheme="minorEastAsia" w:hAnsiTheme="minorEastAsia" w:eastAsiaTheme="minorEastAsia"/>
          <w:color w:val="auto"/>
          <w:szCs w:val="21"/>
          <w:highlight w:val="none"/>
        </w:rPr>
        <w:t>向乙方主张违约金；</w:t>
      </w:r>
      <w:r>
        <w:rPr>
          <w:rFonts w:hint="eastAsia" w:asciiTheme="minorEastAsia" w:hAnsiTheme="minorEastAsia" w:eastAsiaTheme="minorEastAsia"/>
          <w:color w:val="auto"/>
          <w:szCs w:val="21"/>
          <w:highlight w:val="none"/>
        </w:rPr>
        <w:t>或者</w:t>
      </w:r>
      <w:r>
        <w:rPr>
          <w:rFonts w:asciiTheme="minorEastAsia" w:hAnsiTheme="minorEastAsia" w:eastAsiaTheme="minorEastAsia"/>
          <w:color w:val="auto"/>
          <w:szCs w:val="21"/>
          <w:highlight w:val="none"/>
        </w:rPr>
        <w:t>有权安排第三方</w:t>
      </w:r>
      <w:r>
        <w:rPr>
          <w:rFonts w:hint="eastAsia" w:asciiTheme="minorEastAsia" w:hAnsiTheme="minorEastAsia" w:eastAsiaTheme="minorEastAsia"/>
          <w:color w:val="auto"/>
          <w:szCs w:val="21"/>
          <w:highlight w:val="none"/>
        </w:rPr>
        <w:t>解决</w:t>
      </w:r>
      <w:r>
        <w:rPr>
          <w:rFonts w:asciiTheme="minorEastAsia" w:hAnsiTheme="minorEastAsia" w:eastAsiaTheme="minorEastAsia"/>
          <w:color w:val="auto"/>
          <w:szCs w:val="21"/>
          <w:highlight w:val="none"/>
        </w:rPr>
        <w:t>货物质量或缺陷问题，</w:t>
      </w:r>
      <w:r>
        <w:rPr>
          <w:rFonts w:hint="eastAsia" w:asciiTheme="minorEastAsia" w:hAnsiTheme="minorEastAsia" w:eastAsiaTheme="minorEastAsia"/>
          <w:color w:val="auto"/>
          <w:szCs w:val="21"/>
          <w:highlight w:val="none"/>
        </w:rPr>
        <w:t>因此</w:t>
      </w:r>
      <w:r>
        <w:rPr>
          <w:rFonts w:asciiTheme="minorEastAsia" w:hAnsiTheme="minorEastAsia" w:eastAsiaTheme="minorEastAsia"/>
          <w:color w:val="auto"/>
          <w:szCs w:val="21"/>
          <w:highlight w:val="none"/>
        </w:rPr>
        <w:t>产生</w:t>
      </w:r>
      <w:r>
        <w:rPr>
          <w:rFonts w:hint="eastAsia" w:asciiTheme="minorEastAsia" w:hAnsiTheme="minorEastAsia" w:eastAsiaTheme="minorEastAsia"/>
          <w:color w:val="auto"/>
          <w:szCs w:val="21"/>
          <w:highlight w:val="none"/>
        </w:rPr>
        <w:t>的</w:t>
      </w:r>
      <w:r>
        <w:rPr>
          <w:rFonts w:asciiTheme="minorEastAsia" w:hAnsiTheme="minorEastAsia" w:eastAsiaTheme="minorEastAsia"/>
          <w:color w:val="auto"/>
          <w:szCs w:val="21"/>
          <w:highlight w:val="none"/>
        </w:rPr>
        <w:t>所有费用全部由乙方承担，</w:t>
      </w:r>
      <w:r>
        <w:rPr>
          <w:rFonts w:hint="eastAsia" w:asciiTheme="minorEastAsia" w:hAnsiTheme="minorEastAsia" w:eastAsiaTheme="minorEastAsia"/>
          <w:color w:val="auto"/>
          <w:szCs w:val="21"/>
          <w:highlight w:val="none"/>
        </w:rPr>
        <w:t>甲方可以</w:t>
      </w:r>
      <w:r>
        <w:rPr>
          <w:rFonts w:asciiTheme="minorEastAsia" w:hAnsiTheme="minorEastAsia" w:eastAsiaTheme="minorEastAsia"/>
          <w:color w:val="auto"/>
          <w:szCs w:val="21"/>
          <w:highlight w:val="none"/>
        </w:rPr>
        <w:t>在应付乙方的货款中直接扣除，</w:t>
      </w:r>
      <w:r>
        <w:rPr>
          <w:rFonts w:hint="eastAsia" w:asciiTheme="minorEastAsia" w:hAnsiTheme="minorEastAsia" w:eastAsiaTheme="minorEastAsia"/>
          <w:color w:val="auto"/>
          <w:szCs w:val="21"/>
          <w:highlight w:val="none"/>
        </w:rPr>
        <w:t>并</w:t>
      </w:r>
      <w:r>
        <w:rPr>
          <w:rFonts w:asciiTheme="minorEastAsia" w:hAnsiTheme="minorEastAsia" w:eastAsiaTheme="minorEastAsia"/>
          <w:color w:val="auto"/>
          <w:szCs w:val="21"/>
          <w:highlight w:val="none"/>
        </w:rPr>
        <w:t>有权按照合同总额5%</w:t>
      </w:r>
      <w:r>
        <w:rPr>
          <w:rFonts w:hint="eastAsia" w:asciiTheme="minorEastAsia" w:hAnsiTheme="minorEastAsia" w:eastAsiaTheme="minorEastAsia"/>
          <w:color w:val="auto"/>
          <w:szCs w:val="21"/>
          <w:highlight w:val="none"/>
        </w:rPr>
        <w:t>标准</w:t>
      </w:r>
      <w:r>
        <w:rPr>
          <w:rFonts w:asciiTheme="minorEastAsia" w:hAnsiTheme="minorEastAsia" w:eastAsiaTheme="minorEastAsia"/>
          <w:color w:val="auto"/>
          <w:szCs w:val="21"/>
          <w:highlight w:val="none"/>
        </w:rPr>
        <w:t>向乙方主张违约金</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若上述违约金不足以弥补甲方直接损失和</w:t>
      </w:r>
      <w:r>
        <w:rPr>
          <w:rFonts w:hint="eastAsia" w:asciiTheme="minorEastAsia" w:hAnsiTheme="minorEastAsia" w:eastAsiaTheme="minorEastAsia"/>
          <w:color w:val="auto"/>
          <w:szCs w:val="21"/>
          <w:highlight w:val="none"/>
        </w:rPr>
        <w:t>间接</w:t>
      </w:r>
      <w:r>
        <w:rPr>
          <w:rFonts w:asciiTheme="minorEastAsia" w:hAnsiTheme="minorEastAsia" w:eastAsiaTheme="minorEastAsia"/>
          <w:color w:val="auto"/>
          <w:szCs w:val="21"/>
          <w:highlight w:val="none"/>
        </w:rPr>
        <w:t>损失，</w:t>
      </w:r>
      <w:r>
        <w:rPr>
          <w:rFonts w:hint="eastAsia" w:asciiTheme="minorEastAsia" w:hAnsiTheme="minorEastAsia" w:eastAsiaTheme="minorEastAsia"/>
          <w:color w:val="auto"/>
          <w:szCs w:val="21"/>
          <w:highlight w:val="none"/>
        </w:rPr>
        <w:t>则</w:t>
      </w:r>
      <w:r>
        <w:rPr>
          <w:rFonts w:asciiTheme="minorEastAsia" w:hAnsiTheme="minorEastAsia" w:eastAsiaTheme="minorEastAsia"/>
          <w:color w:val="auto"/>
          <w:szCs w:val="21"/>
          <w:highlight w:val="none"/>
        </w:rPr>
        <w:t>乙方应赔偿</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所有损失。</w:t>
      </w:r>
    </w:p>
    <w:p w14:paraId="27202D1D">
      <w:pPr>
        <w:adjustRightInd w:val="0"/>
        <w:snapToGrid w:val="0"/>
        <w:spacing w:line="3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因主张上述权利</w:t>
      </w:r>
      <w:r>
        <w:rPr>
          <w:rFonts w:hint="eastAsia" w:asciiTheme="minorEastAsia" w:hAnsiTheme="minorEastAsia" w:eastAsiaTheme="minorEastAsia"/>
          <w:color w:val="auto"/>
          <w:szCs w:val="21"/>
          <w:highlight w:val="none"/>
        </w:rPr>
        <w:t>而</w:t>
      </w:r>
      <w:r>
        <w:rPr>
          <w:rFonts w:asciiTheme="minorEastAsia" w:hAnsiTheme="minorEastAsia" w:eastAsiaTheme="minorEastAsia"/>
          <w:color w:val="auto"/>
          <w:szCs w:val="21"/>
          <w:highlight w:val="none"/>
        </w:rPr>
        <w:t>支出的所有合理费用，</w:t>
      </w:r>
      <w:r>
        <w:rPr>
          <w:rFonts w:hint="eastAsia" w:asciiTheme="minorEastAsia" w:hAnsiTheme="minorEastAsia" w:eastAsiaTheme="minorEastAsia"/>
          <w:color w:val="auto"/>
          <w:szCs w:val="21"/>
          <w:highlight w:val="none"/>
        </w:rPr>
        <w:t>包括</w:t>
      </w:r>
      <w:r>
        <w:rPr>
          <w:rFonts w:asciiTheme="minorEastAsia" w:hAnsiTheme="minorEastAsia" w:eastAsiaTheme="minorEastAsia"/>
          <w:color w:val="auto"/>
          <w:szCs w:val="21"/>
          <w:highlight w:val="none"/>
        </w:rPr>
        <w:t>但不限于律师费、</w:t>
      </w:r>
      <w:r>
        <w:rPr>
          <w:rFonts w:hint="eastAsia" w:asciiTheme="minorEastAsia" w:hAnsiTheme="minorEastAsia" w:eastAsiaTheme="minorEastAsia"/>
          <w:color w:val="auto"/>
          <w:szCs w:val="21"/>
          <w:highlight w:val="none"/>
        </w:rPr>
        <w:t>诉讼费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鉴定费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差旅费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保函</w:t>
      </w:r>
      <w:r>
        <w:rPr>
          <w:rFonts w:asciiTheme="minorEastAsia" w:hAnsiTheme="minorEastAsia" w:eastAsiaTheme="minorEastAsia"/>
          <w:color w:val="auto"/>
          <w:szCs w:val="21"/>
          <w:highlight w:val="none"/>
        </w:rPr>
        <w:t>费等，</w:t>
      </w:r>
      <w:r>
        <w:rPr>
          <w:rFonts w:hint="eastAsia" w:asciiTheme="minorEastAsia" w:hAnsiTheme="minorEastAsia" w:eastAsiaTheme="minorEastAsia"/>
          <w:color w:val="auto"/>
          <w:szCs w:val="21"/>
          <w:highlight w:val="none"/>
        </w:rPr>
        <w:t>均由</w:t>
      </w:r>
      <w:r>
        <w:rPr>
          <w:rFonts w:asciiTheme="minorEastAsia" w:hAnsiTheme="minorEastAsia" w:eastAsiaTheme="minorEastAsia"/>
          <w:color w:val="auto"/>
          <w:szCs w:val="21"/>
          <w:highlight w:val="none"/>
        </w:rPr>
        <w:t>乙方承担。</w:t>
      </w:r>
    </w:p>
    <w:p w14:paraId="5DCF79FE">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第十条 争议的解决</w:t>
      </w:r>
    </w:p>
    <w:p w14:paraId="7CCE2C00">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.因履行本合同引起的或与本合同有关的争议，甲、乙双方应首先通过友好协商解决，如果协商不能解决争议，则采取以下第（ ）种方式解决争议：</w:t>
      </w:r>
    </w:p>
    <w:p w14:paraId="0F92C96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（1）向甲方所在地人民法院提起诉讼；</w:t>
      </w:r>
    </w:p>
    <w:p w14:paraId="720AE180">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（2）向甲方所在地仲裁委员会按其仲裁规则申请仲裁。</w:t>
      </w:r>
    </w:p>
    <w:p w14:paraId="12CB8412">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如没有约定，默认采取第2种方式解决争议。</w:t>
      </w:r>
    </w:p>
    <w:p w14:paraId="3CAB915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.在法院审理和仲裁期间，除有争议部分外，本合同其他部分应继续履行。</w:t>
      </w:r>
    </w:p>
    <w:p w14:paraId="0FC840D6">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w:t>
      </w:r>
      <w:r>
        <w:rPr>
          <w:rFonts w:hint="eastAsia" w:asciiTheme="minorEastAsia" w:hAnsiTheme="minorEastAsia" w:eastAsiaTheme="minorEastAsia"/>
          <w:b/>
          <w:color w:val="auto"/>
          <w:szCs w:val="21"/>
          <w:highlight w:val="none"/>
          <w:lang w:eastAsia="zh-CN"/>
        </w:rPr>
        <w:t>一</w:t>
      </w:r>
      <w:r>
        <w:rPr>
          <w:rFonts w:hint="eastAsia" w:asciiTheme="minorEastAsia" w:hAnsiTheme="minorEastAsia" w:eastAsiaTheme="minorEastAsia"/>
          <w:b/>
          <w:color w:val="auto"/>
          <w:szCs w:val="21"/>
          <w:highlight w:val="none"/>
        </w:rPr>
        <w:t xml:space="preserve">条 诚实信用 </w:t>
      </w:r>
    </w:p>
    <w:p w14:paraId="3B0922B9">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乙方应诚实信用，严格按照询价通知书要求和投标承诺履行合同，不向甲方进行商业贿赂或者提供不正当利益。</w:t>
      </w:r>
    </w:p>
    <w:p w14:paraId="65358820">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w:t>
      </w:r>
      <w:r>
        <w:rPr>
          <w:rFonts w:hint="eastAsia" w:asciiTheme="minorEastAsia" w:hAnsiTheme="minorEastAsia" w:eastAsiaTheme="minorEastAsia"/>
          <w:b/>
          <w:color w:val="auto"/>
          <w:szCs w:val="21"/>
          <w:highlight w:val="none"/>
          <w:lang w:eastAsia="zh-CN"/>
        </w:rPr>
        <w:t>二</w:t>
      </w:r>
      <w:r>
        <w:rPr>
          <w:rFonts w:hint="eastAsia" w:asciiTheme="minorEastAsia" w:hAnsiTheme="minorEastAsia" w:eastAsiaTheme="minorEastAsia"/>
          <w:b/>
          <w:color w:val="auto"/>
          <w:szCs w:val="21"/>
          <w:highlight w:val="none"/>
        </w:rPr>
        <w:t xml:space="preserve"> 合同生效及其他</w:t>
      </w:r>
    </w:p>
    <w:p w14:paraId="2BE87113">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60327491">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2.本合同一式伍份，甲乙双方各执贰份，代理机构执壹份存档。</w:t>
      </w:r>
    </w:p>
    <w:p w14:paraId="44DC2BDC">
      <w:pPr>
        <w:spacing w:line="360" w:lineRule="exact"/>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3.本合同应按照中华人民共和国的现行法律进行解释。</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7036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1550510A">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p>
          <w:p w14:paraId="0539893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单位名称（章）：    </w:t>
            </w:r>
            <w:r>
              <w:rPr>
                <w:rFonts w:ascii="宋体" w:hAnsi="宋体" w:cs="宋体"/>
                <w:color w:val="auto"/>
                <w:szCs w:val="21"/>
                <w:highlight w:val="none"/>
              </w:rPr>
              <w:t xml:space="preserve">            </w:t>
            </w:r>
          </w:p>
          <w:p w14:paraId="564FFEA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单位地址：         </w:t>
            </w:r>
            <w:r>
              <w:rPr>
                <w:rFonts w:ascii="宋体" w:hAnsi="宋体" w:cs="宋体"/>
                <w:color w:val="auto"/>
                <w:szCs w:val="21"/>
                <w:highlight w:val="none"/>
              </w:rPr>
              <w:t xml:space="preserve">            </w:t>
            </w:r>
          </w:p>
          <w:p w14:paraId="5A4949F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法定代表人：       委托代理人：</w:t>
            </w:r>
          </w:p>
          <w:p w14:paraId="166E668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电话：                         </w:t>
            </w:r>
          </w:p>
          <w:p w14:paraId="539F8A4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传真：                         </w:t>
            </w:r>
          </w:p>
          <w:p w14:paraId="74C7F0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vertAlign w:val="baseline"/>
              </w:rPr>
            </w:pPr>
          </w:p>
        </w:tc>
        <w:tc>
          <w:tcPr>
            <w:tcW w:w="4262" w:type="dxa"/>
          </w:tcPr>
          <w:p w14:paraId="67F2D8E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50402A2B">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单位名称（章）：</w:t>
            </w:r>
          </w:p>
          <w:p w14:paraId="768971F0">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单位地址：</w:t>
            </w:r>
          </w:p>
          <w:p w14:paraId="3100917B">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法定代表人：     委托代理人： </w:t>
            </w:r>
          </w:p>
          <w:p w14:paraId="19EDB2EA">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电话：            传真：</w:t>
            </w:r>
          </w:p>
          <w:p w14:paraId="54EA540C">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开户银行：        帐号：      </w:t>
            </w:r>
          </w:p>
          <w:p w14:paraId="0707EE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vertAlign w:val="baseline"/>
              </w:rPr>
            </w:pPr>
          </w:p>
        </w:tc>
      </w:tr>
    </w:tbl>
    <w:p w14:paraId="297241F4">
      <w:pPr>
        <w:spacing w:line="400" w:lineRule="exact"/>
        <w:rPr>
          <w:rFonts w:ascii="宋体" w:hAnsi="宋体" w:cs="宋体"/>
          <w:b/>
          <w:bCs/>
          <w:color w:val="auto"/>
          <w:szCs w:val="21"/>
          <w:highlight w:val="none"/>
        </w:rPr>
      </w:pPr>
    </w:p>
    <w:p w14:paraId="79274BA6">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3CA85D38">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7EA92E95">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72CD6DD">
      <w:pPr>
        <w:spacing w:line="400" w:lineRule="exac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经办人：                               电  话：</w:t>
      </w:r>
    </w:p>
    <w:p w14:paraId="0D2C44AB">
      <w:pPr>
        <w:outlineLvl w:val="1"/>
        <w:rPr>
          <w:rFonts w:hint="eastAsia" w:hAnsi="宋体" w:cs="宋体"/>
          <w:b/>
          <w:color w:val="auto"/>
          <w:sz w:val="30"/>
          <w:szCs w:val="30"/>
          <w:highlight w:val="none"/>
        </w:rPr>
      </w:pPr>
    </w:p>
    <w:p w14:paraId="417DAA11">
      <w:pPr>
        <w:rPr>
          <w:b/>
          <w:color w:val="auto"/>
          <w:sz w:val="28"/>
          <w:szCs w:val="28"/>
          <w:highlight w:val="none"/>
        </w:rPr>
      </w:pPr>
      <w:r>
        <w:rPr>
          <w:rFonts w:hint="eastAsia" w:hAnsi="宋体" w:cs="宋体"/>
          <w:b/>
          <w:color w:val="auto"/>
          <w:sz w:val="30"/>
          <w:szCs w:val="30"/>
          <w:highlight w:val="none"/>
        </w:rPr>
        <w:br w:type="page"/>
      </w:r>
      <w:r>
        <w:rPr>
          <w:rFonts w:hint="eastAsia" w:ascii="宋体" w:hAnsi="宋体" w:cs="宋体"/>
          <w:b/>
          <w:color w:val="auto"/>
          <w:kern w:val="0"/>
          <w:szCs w:val="21"/>
          <w:highlight w:val="none"/>
        </w:rPr>
        <w:t>附件：1.供应商资格声明函</w:t>
      </w:r>
    </w:p>
    <w:p w14:paraId="13D73D8C">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4201E0EB">
      <w:pPr>
        <w:pStyle w:val="5"/>
        <w:spacing w:line="360" w:lineRule="exact"/>
        <w:ind w:firstLine="0"/>
        <w:rPr>
          <w:color w:val="auto"/>
          <w:sz w:val="21"/>
          <w:szCs w:val="21"/>
          <w:highlight w:val="none"/>
        </w:rPr>
      </w:pPr>
    </w:p>
    <w:p w14:paraId="198B08DE">
      <w:pPr>
        <w:pStyle w:val="5"/>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77F52F62">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7CF61598">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9E206AC">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46BE9A2D">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5A0D85F6">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0D477ADA">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6BA1E293">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2D79173C">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5780ADA9">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3FD87481">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08E4B51D">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7A7CCC90">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48C7A217">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3A421961">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2646B27B">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70EE5377">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628DC275">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4028C1EF">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2547A7B7">
      <w:pPr>
        <w:pStyle w:val="56"/>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投标人法定代表人或代理人（签字或盖章）：       </w:t>
      </w:r>
    </w:p>
    <w:p w14:paraId="78C87953">
      <w:pPr>
        <w:pStyle w:val="56"/>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投标人名称（公章）：             </w:t>
      </w:r>
    </w:p>
    <w:p w14:paraId="732CA154">
      <w:pPr>
        <w:pStyle w:val="56"/>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36576A0E">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409FDAEC">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1DC354AB">
      <w:pPr>
        <w:spacing w:line="3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常州市公安局</w:t>
      </w:r>
      <w:r>
        <w:rPr>
          <w:rFonts w:hint="eastAsia" w:asciiTheme="minorEastAsia" w:hAnsiTheme="minorEastAsia" w:eastAsiaTheme="minorEastAsia"/>
          <w:color w:val="auto"/>
          <w:highlight w:val="none"/>
        </w:rPr>
        <w:t>、常州市城投建设工程招标有限公司 ：</w:t>
      </w:r>
    </w:p>
    <w:p w14:paraId="34F3CD84">
      <w:pPr>
        <w:spacing w:line="36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我单位收到贵单位“       号”询价</w:t>
      </w:r>
      <w:r>
        <w:rPr>
          <w:rFonts w:asciiTheme="minorEastAsia" w:hAnsiTheme="minorEastAsia" w:eastAsiaTheme="minorEastAsia"/>
          <w:color w:val="auto"/>
          <w:highlight w:val="none"/>
        </w:rPr>
        <w:t>通知书</w:t>
      </w:r>
      <w:r>
        <w:rPr>
          <w:rFonts w:hint="eastAsia" w:asciiTheme="minorEastAsia" w:hAnsiTheme="minorEastAsia" w:eastAsiaTheme="minorEastAsia"/>
          <w:color w:val="auto"/>
          <w:highlight w:val="none"/>
        </w:rPr>
        <w:t>后，经仔细阅读和研究，我单位决定参加本项目的询价活动。为此，我方郑重声明以下诸点，并负法律责任。</w:t>
      </w:r>
    </w:p>
    <w:p w14:paraId="030BCAF9">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遵守贵单位有关采购的各项规定，</w:t>
      </w:r>
      <w:r>
        <w:rPr>
          <w:rFonts w:hint="eastAsia" w:cs="宋体" w:asciiTheme="minorEastAsia" w:hAnsiTheme="minorEastAsia" w:eastAsiaTheme="minorEastAsia"/>
          <w:color w:val="auto"/>
          <w:sz w:val="21"/>
          <w:szCs w:val="21"/>
          <w:highlight w:val="none"/>
        </w:rPr>
        <w:t>提供询价通知书中要求的所有资料，并保证完全真实准确，若有虚假和违背，我单位愿意承担由此而产生的一切后果。</w:t>
      </w:r>
    </w:p>
    <w:p w14:paraId="793046D4">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78716181">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4681D3DC">
      <w:pPr>
        <w:pStyle w:val="56"/>
        <w:spacing w:line="360" w:lineRule="exact"/>
        <w:ind w:firstLine="420"/>
        <w:jc w:val="left"/>
        <w:rPr>
          <w:rFonts w:hint="eastAsia" w:ascii="宋体" w:eastAsia="宋体" w:cs="Arial"/>
          <w:color w:val="auto"/>
          <w:szCs w:val="21"/>
          <w:highlight w:val="none"/>
          <w:lang w:eastAsia="zh-CN"/>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w:t>
      </w:r>
      <w:r>
        <w:rPr>
          <w:rFonts w:hint="eastAsia" w:cs="Times New Roman" w:asciiTheme="minorEastAsia" w:hAnsiTheme="minorEastAsia" w:eastAsiaTheme="minorEastAsia"/>
          <w:color w:val="auto"/>
          <w:kern w:val="2"/>
          <w:sz w:val="21"/>
          <w:szCs w:val="21"/>
          <w:highlight w:val="none"/>
          <w:lang w:val="en-US" w:eastAsia="zh-CN" w:bidi="ar-SA"/>
        </w:rPr>
        <w:t>询价报价包括但不限于询价通知书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采购人不再支付其他任何费用。</w:t>
      </w:r>
    </w:p>
    <w:p w14:paraId="093810C6">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6.我单位认为贵单位有权决定成交供应商，还认为贵单位有权接受或拒绝所有的供应商。</w:t>
      </w:r>
    </w:p>
    <w:p w14:paraId="7FF93F3A">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我单位愿意遵守询价通知书中所列的收费标准</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按询价通知书</w:t>
      </w:r>
      <w:r>
        <w:rPr>
          <w:rFonts w:hint="eastAsia" w:cs="宋体" w:asciiTheme="minorEastAsia" w:hAnsiTheme="minorEastAsia" w:eastAsiaTheme="minorEastAsia"/>
          <w:color w:val="auto"/>
          <w:sz w:val="21"/>
          <w:szCs w:val="21"/>
          <w:highlight w:val="none"/>
        </w:rPr>
        <w:t>的规定支付成交服务费。</w:t>
      </w:r>
    </w:p>
    <w:p w14:paraId="54AF366E">
      <w:pPr>
        <w:pStyle w:val="56"/>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8.如果我单位的询价响应文件被接受，</w:t>
      </w:r>
      <w:r>
        <w:rPr>
          <w:rFonts w:hint="eastAsia" w:asciiTheme="minorEastAsia" w:hAnsiTheme="minorEastAsia" w:eastAsiaTheme="minorEastAsia"/>
          <w:color w:val="auto"/>
          <w:sz w:val="21"/>
          <w:szCs w:val="21"/>
          <w:highlight w:val="none"/>
        </w:rPr>
        <w:t>愿按《中华人民共和国民法典》履行自己的全部责任，</w:t>
      </w:r>
      <w:r>
        <w:rPr>
          <w:rFonts w:asciiTheme="minorEastAsia" w:hAnsiTheme="minorEastAsia" w:eastAsiaTheme="minorEastAsia"/>
          <w:color w:val="auto"/>
          <w:sz w:val="21"/>
          <w:szCs w:val="21"/>
          <w:highlight w:val="none"/>
        </w:rPr>
        <w:t>同时</w:t>
      </w:r>
      <w:r>
        <w:rPr>
          <w:rFonts w:hint="eastAsia" w:cs="宋体" w:asciiTheme="minorEastAsia" w:hAnsiTheme="minorEastAsia" w:eastAsiaTheme="minorEastAsia"/>
          <w:color w:val="auto"/>
          <w:sz w:val="21"/>
          <w:szCs w:val="21"/>
          <w:highlight w:val="none"/>
        </w:rPr>
        <w:t>严格履行询价通知书中规定的每一项要求，按期、按质、按量履行合同的义务。</w:t>
      </w:r>
    </w:p>
    <w:p w14:paraId="122F0CDE">
      <w:pPr>
        <w:pStyle w:val="56"/>
        <w:spacing w:line="360" w:lineRule="exact"/>
        <w:ind w:firstLine="420"/>
        <w:rPr>
          <w:rFonts w:cs="宋体"/>
          <w:color w:val="auto"/>
          <w:sz w:val="21"/>
          <w:szCs w:val="21"/>
          <w:highlight w:val="none"/>
        </w:rPr>
      </w:pPr>
      <w:r>
        <w:rPr>
          <w:rFonts w:hint="eastAsia" w:cs="宋体"/>
          <w:color w:val="auto"/>
          <w:sz w:val="21"/>
          <w:szCs w:val="21"/>
          <w:highlight w:val="none"/>
        </w:rPr>
        <w:t>9.与本次询价有关的正式通讯地址为：</w:t>
      </w:r>
    </w:p>
    <w:p w14:paraId="7A4EFA1E">
      <w:pPr>
        <w:spacing w:line="360" w:lineRule="exact"/>
        <w:ind w:firstLine="420" w:firstLineChars="200"/>
        <w:rPr>
          <w:rFonts w:asciiTheme="minorEastAsia" w:hAnsiTheme="minorEastAsia" w:eastAsiaTheme="minorEastAsia"/>
          <w:color w:val="auto"/>
          <w:highlight w:val="none"/>
        </w:rPr>
      </w:pPr>
    </w:p>
    <w:p w14:paraId="79642451">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p w14:paraId="4D6BFB07">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法定代表人或其委托代理人（签字）：</w:t>
      </w:r>
    </w:p>
    <w:p w14:paraId="5ACF6201">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4AA4C117">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电话：    传真：</w:t>
      </w:r>
    </w:p>
    <w:p w14:paraId="7E3E3A42">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邮政编码：</w:t>
      </w:r>
    </w:p>
    <w:p w14:paraId="5A5B86A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开户名称：</w:t>
      </w:r>
    </w:p>
    <w:p w14:paraId="0C396C5E">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开户银行：</w:t>
      </w:r>
    </w:p>
    <w:p w14:paraId="5E76917B">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银行账号：</w:t>
      </w:r>
    </w:p>
    <w:p w14:paraId="7D943726">
      <w:pPr>
        <w:pStyle w:val="11"/>
        <w:snapToGrid w:val="0"/>
        <w:spacing w:line="360" w:lineRule="auto"/>
        <w:ind w:firstLine="420"/>
        <w:rPr>
          <w:rFonts w:hint="eastAsia" w:asciiTheme="minorEastAsia" w:hAnsiTheme="minorEastAsia"/>
          <w:bCs/>
          <w:color w:val="auto"/>
          <w:sz w:val="21"/>
          <w:szCs w:val="21"/>
          <w:highlight w:val="none"/>
        </w:rPr>
      </w:pPr>
      <w:r>
        <w:rPr>
          <w:rFonts w:hint="eastAsia" w:asciiTheme="minorEastAsia" w:hAnsiTheme="minorEastAsia"/>
          <w:color w:val="auto"/>
          <w:sz w:val="21"/>
          <w:szCs w:val="21"/>
          <w:highlight w:val="none"/>
        </w:rPr>
        <w:t>日期</w:t>
      </w:r>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 xml:space="preserve">     </w:t>
      </w:r>
      <w:r>
        <w:rPr>
          <w:rFonts w:hint="eastAsia" w:asciiTheme="minorEastAsia" w:hAnsiTheme="minorEastAsia"/>
          <w:bCs/>
          <w:color w:val="auto"/>
          <w:sz w:val="21"/>
          <w:szCs w:val="21"/>
          <w:highlight w:val="none"/>
        </w:rPr>
        <w:t>年   月   日</w:t>
      </w:r>
    </w:p>
    <w:p w14:paraId="790A4E3B">
      <w:pPr>
        <w:rPr>
          <w:rFonts w:hint="eastAsia" w:asciiTheme="minorEastAsia" w:hAnsiTheme="minorEastAsia"/>
          <w:bCs/>
          <w:color w:val="auto"/>
          <w:sz w:val="21"/>
          <w:szCs w:val="21"/>
          <w:highlight w:val="none"/>
        </w:rPr>
      </w:pPr>
      <w:r>
        <w:rPr>
          <w:rFonts w:hint="eastAsia" w:asciiTheme="minorEastAsia" w:hAnsiTheme="minorEastAsia"/>
          <w:bCs/>
          <w:color w:val="auto"/>
          <w:sz w:val="21"/>
          <w:szCs w:val="21"/>
          <w:highlight w:val="none"/>
        </w:rPr>
        <w:br w:type="page"/>
      </w:r>
    </w:p>
    <w:p w14:paraId="694338EC">
      <w:pPr>
        <w:pStyle w:val="11"/>
        <w:snapToGrid w:val="0"/>
        <w:spacing w:line="360" w:lineRule="auto"/>
        <w:ind w:firstLine="420"/>
        <w:rPr>
          <w:rFonts w:cs="宋体"/>
          <w:b/>
          <w:color w:val="auto"/>
          <w:szCs w:val="21"/>
          <w:highlight w:val="none"/>
        </w:rPr>
      </w:pPr>
      <w:r>
        <w:rPr>
          <w:rFonts w:hint="eastAsia" w:ascii="宋体" w:hAnsi="宋体" w:cs="宋体"/>
          <w:b/>
          <w:color w:val="auto"/>
          <w:kern w:val="0"/>
          <w:szCs w:val="21"/>
          <w:highlight w:val="none"/>
        </w:rPr>
        <w:t>附件：3.法定代表人资格证明书</w:t>
      </w:r>
    </w:p>
    <w:p w14:paraId="2CAD8E36">
      <w:pPr>
        <w:rPr>
          <w:color w:val="auto"/>
          <w:highlight w:val="none"/>
        </w:rPr>
      </w:pPr>
    </w:p>
    <w:p w14:paraId="04B43CE4">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1545DFD1">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6D027043">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3982B0C9">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1DD15D3">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779097FE">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050FC723">
      <w:pPr>
        <w:spacing w:line="360" w:lineRule="auto"/>
        <w:rPr>
          <w:rFonts w:ascii="宋体" w:hAnsi="宋体"/>
          <w:color w:val="auto"/>
          <w:szCs w:val="21"/>
          <w:highlight w:val="none"/>
        </w:rPr>
      </w:pPr>
    </w:p>
    <w:p w14:paraId="01ACA761">
      <w:pPr>
        <w:spacing w:line="360" w:lineRule="auto"/>
        <w:rPr>
          <w:rFonts w:ascii="宋体" w:hAnsi="宋体"/>
          <w:color w:val="auto"/>
          <w:szCs w:val="21"/>
          <w:highlight w:val="none"/>
        </w:rPr>
      </w:pPr>
    </w:p>
    <w:p w14:paraId="1FC14B2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69BBE939">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70D9C037">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74FAF37">
      <w:pPr>
        <w:tabs>
          <w:tab w:val="left" w:pos="6045"/>
        </w:tabs>
        <w:snapToGrid w:val="0"/>
        <w:spacing w:line="360" w:lineRule="auto"/>
        <w:ind w:left="210" w:hanging="210" w:hangingChars="100"/>
        <w:rPr>
          <w:rFonts w:ascii="宋体" w:hAnsi="宋体"/>
          <w:color w:val="auto"/>
          <w:szCs w:val="21"/>
          <w:highlight w:val="none"/>
        </w:rPr>
      </w:pPr>
    </w:p>
    <w:p w14:paraId="7AB365E3">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790FE08D">
      <w:pPr>
        <w:snapToGrid w:val="0"/>
        <w:spacing w:line="360" w:lineRule="auto"/>
        <w:rPr>
          <w:rFonts w:ascii="宋体" w:hAnsi="宋体"/>
          <w:color w:val="auto"/>
          <w:szCs w:val="21"/>
          <w:highlight w:val="none"/>
        </w:rPr>
      </w:pPr>
    </w:p>
    <w:p w14:paraId="40867869">
      <w:pPr>
        <w:snapToGrid w:val="0"/>
        <w:spacing w:line="360" w:lineRule="auto"/>
        <w:rPr>
          <w:rFonts w:ascii="宋体" w:hAnsi="宋体"/>
          <w:b/>
          <w:color w:val="auto"/>
          <w:szCs w:val="21"/>
          <w:highlight w:val="none"/>
        </w:rPr>
      </w:pPr>
    </w:p>
    <w:p w14:paraId="1D59E977">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21983111">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4E3FD310">
      <w:pPr>
        <w:snapToGrid w:val="0"/>
        <w:spacing w:line="360" w:lineRule="auto"/>
        <w:rPr>
          <w:rFonts w:ascii="宋体" w:hAnsi="宋体"/>
          <w:b/>
          <w:color w:val="auto"/>
          <w:sz w:val="24"/>
          <w:szCs w:val="28"/>
          <w:highlight w:val="none"/>
        </w:rPr>
      </w:pPr>
    </w:p>
    <w:p w14:paraId="1CFCDFAA">
      <w:pPr>
        <w:snapToGrid w:val="0"/>
        <w:spacing w:line="360" w:lineRule="auto"/>
        <w:rPr>
          <w:rFonts w:ascii="宋体" w:hAnsi="宋体"/>
          <w:b/>
          <w:color w:val="auto"/>
          <w:sz w:val="24"/>
          <w:szCs w:val="28"/>
          <w:highlight w:val="none"/>
        </w:rPr>
      </w:pPr>
    </w:p>
    <w:p w14:paraId="58D76830">
      <w:pPr>
        <w:rPr>
          <w:color w:val="auto"/>
          <w:highlight w:val="none"/>
        </w:rPr>
      </w:pPr>
    </w:p>
    <w:p w14:paraId="149B0DBA">
      <w:pPr>
        <w:rPr>
          <w:color w:val="auto"/>
          <w:highlight w:val="none"/>
        </w:rPr>
      </w:pPr>
    </w:p>
    <w:p w14:paraId="6EA927E6">
      <w:pPr>
        <w:rPr>
          <w:color w:val="auto"/>
          <w:highlight w:val="none"/>
        </w:rPr>
      </w:pPr>
    </w:p>
    <w:p w14:paraId="0C524BEF">
      <w:pPr>
        <w:rPr>
          <w:color w:val="auto"/>
          <w:highlight w:val="none"/>
        </w:rPr>
      </w:pPr>
    </w:p>
    <w:p w14:paraId="20C13C2A">
      <w:pPr>
        <w:rPr>
          <w:color w:val="auto"/>
          <w:highlight w:val="none"/>
        </w:rPr>
      </w:pPr>
    </w:p>
    <w:p w14:paraId="2B92E3D3">
      <w:pPr>
        <w:rPr>
          <w:color w:val="auto"/>
          <w:highlight w:val="none"/>
        </w:rPr>
      </w:pPr>
    </w:p>
    <w:p w14:paraId="2D035928">
      <w:pPr>
        <w:rPr>
          <w:color w:val="auto"/>
          <w:highlight w:val="none"/>
        </w:rPr>
      </w:pPr>
    </w:p>
    <w:p w14:paraId="704E34F6">
      <w:pPr>
        <w:rPr>
          <w:color w:val="auto"/>
          <w:highlight w:val="none"/>
        </w:rPr>
      </w:pPr>
    </w:p>
    <w:p w14:paraId="57A6E42B">
      <w:pPr>
        <w:rPr>
          <w:color w:val="auto"/>
          <w:highlight w:val="none"/>
        </w:rPr>
      </w:pPr>
    </w:p>
    <w:p w14:paraId="0226D4AF">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2BB681A4">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附件：4.授权委托书</w:t>
      </w:r>
    </w:p>
    <w:p w14:paraId="3215984D">
      <w:pPr>
        <w:pStyle w:val="56"/>
        <w:spacing w:line="360" w:lineRule="exact"/>
        <w:ind w:firstLine="562"/>
        <w:jc w:val="center"/>
        <w:rPr>
          <w:rFonts w:cs="宋体"/>
          <w:b/>
          <w:color w:val="auto"/>
          <w:sz w:val="28"/>
          <w:szCs w:val="28"/>
          <w:highlight w:val="none"/>
        </w:rPr>
      </w:pPr>
      <w:r>
        <w:rPr>
          <w:rFonts w:hint="eastAsia" w:cs="宋体"/>
          <w:b/>
          <w:color w:val="auto"/>
          <w:sz w:val="28"/>
          <w:szCs w:val="28"/>
          <w:highlight w:val="none"/>
        </w:rPr>
        <w:t>授权委托书</w:t>
      </w:r>
    </w:p>
    <w:p w14:paraId="24BF37C5">
      <w:pPr>
        <w:adjustRightInd w:val="0"/>
        <w:snapToGrid w:val="0"/>
        <w:spacing w:line="360" w:lineRule="auto"/>
        <w:ind w:firstLine="516" w:firstLineChars="215"/>
        <w:rPr>
          <w:rFonts w:ascii="宋体" w:hAnsi="宋体" w:cs="宋体"/>
          <w:color w:val="auto"/>
          <w:sz w:val="24"/>
          <w:szCs w:val="24"/>
          <w:highlight w:val="none"/>
        </w:rPr>
      </w:pPr>
    </w:p>
    <w:p w14:paraId="7EF2517C">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A02CF0A">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73DA3A5E">
      <w:pPr>
        <w:adjustRightInd w:val="0"/>
        <w:snapToGrid w:val="0"/>
        <w:spacing w:line="360" w:lineRule="auto"/>
        <w:rPr>
          <w:rFonts w:ascii="宋体" w:hAnsi="宋体" w:cs="宋体"/>
          <w:color w:val="auto"/>
          <w:sz w:val="24"/>
          <w:szCs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575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9A63D75">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法定代表人签字或盖章：  </w:t>
            </w:r>
          </w:p>
          <w:p w14:paraId="397D1A88">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BC73B27">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2C7E9CD2">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F82A0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F65E6A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3CF9BAB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0A6AF9F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2282CD8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3B05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2A72E1A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委托代理人（被授权人）签字或盖章：</w:t>
            </w:r>
          </w:p>
          <w:p w14:paraId="2D79D38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91FF39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63BC5749">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18B5A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1686F0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73611FC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792A64AC">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1FD270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5256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4CD32E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供应商公章： </w:t>
            </w:r>
          </w:p>
          <w:p w14:paraId="188D285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地址：         </w:t>
            </w:r>
          </w:p>
          <w:p w14:paraId="752DDCA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传真：         </w:t>
            </w:r>
          </w:p>
          <w:p w14:paraId="0392220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开户行：</w:t>
            </w:r>
          </w:p>
          <w:p w14:paraId="1904F51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帐号：</w:t>
            </w:r>
          </w:p>
          <w:p w14:paraId="14AC9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2144743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电话：</w:t>
            </w:r>
          </w:p>
          <w:p w14:paraId="4BD1124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邮编：</w:t>
            </w:r>
          </w:p>
          <w:p w14:paraId="22218FF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bl>
    <w:p w14:paraId="4206371F">
      <w:pPr>
        <w:spacing w:line="400" w:lineRule="exact"/>
        <w:rPr>
          <w:rFonts w:ascii="宋体" w:hAnsi="宋体"/>
          <w:color w:val="auto"/>
          <w:szCs w:val="21"/>
          <w:highlight w:val="none"/>
        </w:rPr>
      </w:pPr>
      <w:r>
        <w:rPr>
          <w:rFonts w:hint="eastAsia" w:ascii="宋体" w:hAnsi="宋体"/>
          <w:color w:val="auto"/>
          <w:szCs w:val="21"/>
          <w:highlight w:val="none"/>
        </w:rPr>
        <w:t>代理人身份证</w:t>
      </w:r>
    </w:p>
    <w:p w14:paraId="670A8F44">
      <w:pPr>
        <w:spacing w:line="360" w:lineRule="auto"/>
        <w:rPr>
          <w:rFonts w:ascii="宋体" w:hAnsi="宋体" w:cs="宋体"/>
          <w:color w:val="auto"/>
          <w:sz w:val="24"/>
          <w:szCs w:val="24"/>
          <w:highlight w:val="none"/>
        </w:rPr>
      </w:pPr>
      <w:r>
        <w:rPr>
          <w:rFonts w:hint="eastAsia" w:ascii="宋体" w:hAnsi="宋体"/>
          <w:color w:val="auto"/>
          <w:szCs w:val="21"/>
          <w:highlight w:val="none"/>
        </w:rPr>
        <w:t>（双面复印件）粘贴处</w:t>
      </w:r>
    </w:p>
    <w:p w14:paraId="37B148CA">
      <w:pPr>
        <w:spacing w:line="360" w:lineRule="auto"/>
        <w:rPr>
          <w:rFonts w:ascii="宋体" w:hAnsi="宋体" w:cs="宋体"/>
          <w:color w:val="auto"/>
          <w:sz w:val="24"/>
          <w:szCs w:val="24"/>
          <w:highlight w:val="none"/>
        </w:rPr>
      </w:pPr>
    </w:p>
    <w:p w14:paraId="0D03A199">
      <w:pPr>
        <w:spacing w:line="360" w:lineRule="auto"/>
        <w:rPr>
          <w:rFonts w:ascii="宋体" w:hAnsi="宋体" w:cs="宋体"/>
          <w:color w:val="auto"/>
          <w:szCs w:val="21"/>
          <w:highlight w:val="none"/>
        </w:rPr>
      </w:pPr>
    </w:p>
    <w:p w14:paraId="5F45F791">
      <w:pPr>
        <w:rPr>
          <w:rFonts w:ascii="宋体" w:hAnsi="宋体" w:cs="宋体"/>
          <w:color w:val="auto"/>
          <w:szCs w:val="21"/>
          <w:highlight w:val="none"/>
        </w:rPr>
      </w:pPr>
    </w:p>
    <w:p w14:paraId="35130F1B">
      <w:pPr>
        <w:widowControl/>
        <w:snapToGrid w:val="0"/>
        <w:spacing w:line="360" w:lineRule="auto"/>
        <w:ind w:right="-308"/>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14:paraId="2134135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15E29369">
      <w:pPr>
        <w:ind w:firstLine="309"/>
        <w:jc w:val="center"/>
        <w:rPr>
          <w:rFonts w:ascii="宋体" w:hAnsi="宋体"/>
          <w:color w:val="auto"/>
          <w:sz w:val="28"/>
          <w:szCs w:val="28"/>
          <w:highlight w:val="none"/>
        </w:rPr>
      </w:pPr>
      <w:r>
        <w:rPr>
          <w:rFonts w:hint="eastAsia" w:ascii="宋体" w:hAnsi="宋体"/>
          <w:b/>
          <w:color w:val="auto"/>
          <w:sz w:val="28"/>
          <w:szCs w:val="28"/>
          <w:highlight w:val="none"/>
        </w:rPr>
        <w:t>报价一览表</w:t>
      </w:r>
    </w:p>
    <w:p w14:paraId="30C933A4">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tbl>
      <w:tblPr>
        <w:tblStyle w:val="21"/>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181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45D7BDC">
            <w:pPr>
              <w:jc w:val="center"/>
              <w:rPr>
                <w:rFonts w:ascii="宋体" w:hAnsi="宋体"/>
                <w:color w:val="auto"/>
                <w:szCs w:val="21"/>
                <w:highlight w:val="none"/>
              </w:rPr>
            </w:pPr>
            <w:r>
              <w:rPr>
                <w:rFonts w:hint="eastAsia" w:ascii="宋体" w:hAnsi="宋体"/>
                <w:color w:val="auto"/>
                <w:szCs w:val="21"/>
                <w:highlight w:val="none"/>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700466DE">
            <w:pPr>
              <w:jc w:val="center"/>
              <w:rPr>
                <w:rFonts w:ascii="宋体" w:hAnsi="宋体"/>
                <w:color w:val="auto"/>
                <w:szCs w:val="21"/>
                <w:highlight w:val="none"/>
              </w:rPr>
            </w:pPr>
          </w:p>
        </w:tc>
      </w:tr>
      <w:tr w14:paraId="258C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0BA49BD">
            <w:pPr>
              <w:jc w:val="center"/>
              <w:rPr>
                <w:rFonts w:ascii="宋体" w:hAnsi="宋体"/>
                <w:color w:val="auto"/>
                <w:szCs w:val="21"/>
                <w:highlight w:val="none"/>
              </w:rPr>
            </w:pPr>
            <w:r>
              <w:rPr>
                <w:rFonts w:hint="eastAsia" w:ascii="宋体" w:hAnsi="宋体"/>
                <w:color w:val="auto"/>
                <w:szCs w:val="21"/>
                <w:highlight w:val="none"/>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4CD4F12F">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大写：人民币              元</w:t>
            </w:r>
          </w:p>
        </w:tc>
      </w:tr>
      <w:tr w14:paraId="0CD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C60B0FC">
            <w:pPr>
              <w:jc w:val="center"/>
              <w:rPr>
                <w:rFonts w:ascii="宋体" w:hAnsi="宋体"/>
                <w:color w:val="auto"/>
                <w:szCs w:val="21"/>
                <w:highlight w:val="none"/>
              </w:rPr>
            </w:pPr>
            <w:r>
              <w:rPr>
                <w:rFonts w:hint="eastAsia" w:ascii="宋体" w:hAnsi="宋体"/>
                <w:color w:val="auto"/>
                <w:szCs w:val="21"/>
                <w:highlight w:val="none"/>
              </w:rPr>
              <w:t>质保期</w:t>
            </w:r>
          </w:p>
        </w:tc>
        <w:tc>
          <w:tcPr>
            <w:tcW w:w="5955" w:type="dxa"/>
            <w:tcBorders>
              <w:top w:val="single" w:color="auto" w:sz="4" w:space="0"/>
              <w:left w:val="single" w:color="auto" w:sz="4" w:space="0"/>
              <w:bottom w:val="single" w:color="auto" w:sz="4" w:space="0"/>
              <w:right w:val="single" w:color="auto" w:sz="4" w:space="0"/>
            </w:tcBorders>
            <w:vAlign w:val="center"/>
          </w:tcPr>
          <w:p w14:paraId="0EFB6FBB">
            <w:pPr>
              <w:jc w:val="center"/>
              <w:rPr>
                <w:rFonts w:ascii="宋体" w:hAnsi="宋体"/>
                <w:color w:val="auto"/>
                <w:szCs w:val="21"/>
                <w:highlight w:val="none"/>
              </w:rPr>
            </w:pPr>
          </w:p>
        </w:tc>
      </w:tr>
    </w:tbl>
    <w:p w14:paraId="35F0016D">
      <w:pPr>
        <w:rPr>
          <w:rFonts w:ascii="宋体" w:hAnsi="宋体"/>
          <w:color w:val="auto"/>
          <w:szCs w:val="21"/>
          <w:highlight w:val="none"/>
        </w:rPr>
      </w:pPr>
    </w:p>
    <w:p w14:paraId="4973AAD9">
      <w:pPr>
        <w:rPr>
          <w:rFonts w:ascii="宋体" w:hAnsi="宋体"/>
          <w:color w:val="auto"/>
          <w:szCs w:val="21"/>
          <w:highlight w:val="none"/>
        </w:rPr>
      </w:pPr>
      <w:r>
        <w:rPr>
          <w:rFonts w:hint="eastAsia" w:ascii="宋体" w:hAnsi="宋体"/>
          <w:color w:val="auto"/>
          <w:szCs w:val="21"/>
          <w:highlight w:val="none"/>
        </w:rPr>
        <w:t>法定代表人或代理人（签字或盖章）：</w:t>
      </w:r>
    </w:p>
    <w:p w14:paraId="4E081051">
      <w:pPr>
        <w:pStyle w:val="83"/>
        <w:spacing w:line="360" w:lineRule="exact"/>
        <w:ind w:firstLine="4620"/>
        <w:jc w:val="right"/>
        <w:rPr>
          <w:rFonts w:hAnsi="宋体"/>
          <w:color w:val="auto"/>
          <w:sz w:val="21"/>
          <w:szCs w:val="21"/>
          <w:highlight w:val="none"/>
        </w:rPr>
      </w:pPr>
      <w:r>
        <w:rPr>
          <w:rFonts w:hint="eastAsia" w:hAnsi="宋体" w:eastAsia="宋体"/>
          <w:color w:val="auto"/>
          <w:sz w:val="21"/>
          <w:szCs w:val="21"/>
          <w:highlight w:val="none"/>
        </w:rPr>
        <w:t>年     月     日</w:t>
      </w:r>
      <w:r>
        <w:rPr>
          <w:rFonts w:hint="eastAsia" w:hAnsi="宋体"/>
          <w:color w:val="auto"/>
          <w:sz w:val="21"/>
          <w:szCs w:val="21"/>
          <w:highlight w:val="none"/>
        </w:rPr>
        <w:t xml:space="preserve"> </w:t>
      </w:r>
    </w:p>
    <w:p w14:paraId="1F6278B9">
      <w:pPr>
        <w:spacing w:line="360" w:lineRule="auto"/>
        <w:jc w:val="center"/>
        <w:rPr>
          <w:rFonts w:ascii="宋体" w:hAnsi="宋体"/>
          <w:b/>
          <w:color w:val="auto"/>
          <w:szCs w:val="21"/>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4008595B">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附件：6.报价明细表</w:t>
      </w:r>
    </w:p>
    <w:p w14:paraId="19D7F629">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报价明细表</w:t>
      </w:r>
    </w:p>
    <w:p w14:paraId="097769C7">
      <w:pPr>
        <w:snapToGrid w:val="0"/>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 </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66"/>
        <w:gridCol w:w="396"/>
        <w:gridCol w:w="3644"/>
        <w:gridCol w:w="1296"/>
        <w:gridCol w:w="666"/>
        <w:gridCol w:w="694"/>
        <w:gridCol w:w="760"/>
      </w:tblGrid>
      <w:tr w14:paraId="086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8" w:type="pct"/>
            <w:vAlign w:val="center"/>
          </w:tcPr>
          <w:p w14:paraId="17E62AF6">
            <w:pPr>
              <w:pStyle w:val="17"/>
              <w:widowControl w:val="0"/>
              <w:numPr>
                <w:ilvl w:val="0"/>
                <w:numId w:val="0"/>
              </w:numPr>
              <w:tabs>
                <w:tab w:val="clear" w:pos="9345"/>
              </w:tabs>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序号</w:t>
            </w:r>
          </w:p>
        </w:tc>
        <w:tc>
          <w:tcPr>
            <w:tcW w:w="382" w:type="pct"/>
            <w:vAlign w:val="center"/>
          </w:tcPr>
          <w:p w14:paraId="7355E71B">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名称</w:t>
            </w:r>
          </w:p>
        </w:tc>
        <w:tc>
          <w:tcPr>
            <w:tcW w:w="287" w:type="pct"/>
            <w:vAlign w:val="center"/>
          </w:tcPr>
          <w:p w14:paraId="196E4E72">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单位</w:t>
            </w:r>
          </w:p>
        </w:tc>
        <w:tc>
          <w:tcPr>
            <w:tcW w:w="2194" w:type="pct"/>
            <w:vAlign w:val="center"/>
          </w:tcPr>
          <w:p w14:paraId="19A99BDB">
            <w:pPr>
              <w:pStyle w:val="17"/>
              <w:widowControl w:val="0"/>
              <w:numPr>
                <w:ilvl w:val="0"/>
                <w:numId w:val="0"/>
              </w:num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662" w:type="pct"/>
            <w:vAlign w:val="center"/>
          </w:tcPr>
          <w:p w14:paraId="5C5F2B26">
            <w:pPr>
              <w:pStyle w:val="17"/>
              <w:widowControl w:val="0"/>
              <w:numPr>
                <w:ilvl w:val="0"/>
                <w:numId w:val="0"/>
              </w:num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图片</w:t>
            </w:r>
          </w:p>
        </w:tc>
        <w:tc>
          <w:tcPr>
            <w:tcW w:w="306" w:type="pct"/>
            <w:vAlign w:val="center"/>
          </w:tcPr>
          <w:p w14:paraId="6B9A6D86">
            <w:pPr>
              <w:pStyle w:val="17"/>
              <w:widowControl w:val="0"/>
              <w:numPr>
                <w:ilvl w:val="0"/>
                <w:numId w:val="0"/>
              </w:num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数量</w:t>
            </w:r>
          </w:p>
        </w:tc>
        <w:tc>
          <w:tcPr>
            <w:tcW w:w="443" w:type="pct"/>
            <w:vAlign w:val="center"/>
          </w:tcPr>
          <w:p w14:paraId="786064CC">
            <w:pPr>
              <w:pStyle w:val="17"/>
              <w:widowControl w:val="0"/>
              <w:numPr>
                <w:ilvl w:val="0"/>
                <w:numId w:val="0"/>
              </w:num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单价</w:t>
            </w:r>
          </w:p>
        </w:tc>
        <w:tc>
          <w:tcPr>
            <w:tcW w:w="484" w:type="pct"/>
            <w:vAlign w:val="center"/>
          </w:tcPr>
          <w:p w14:paraId="03E004E9">
            <w:pPr>
              <w:pStyle w:val="17"/>
              <w:widowControl w:val="0"/>
              <w:numPr>
                <w:ilvl w:val="0"/>
                <w:numId w:val="0"/>
              </w:num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小计</w:t>
            </w:r>
          </w:p>
        </w:tc>
      </w:tr>
      <w:tr w14:paraId="1E78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38" w:type="pct"/>
            <w:vAlign w:val="center"/>
          </w:tcPr>
          <w:p w14:paraId="7D10837C">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382" w:type="pct"/>
            <w:vAlign w:val="center"/>
          </w:tcPr>
          <w:p w14:paraId="68F46462">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A单元组件</w:t>
            </w:r>
          </w:p>
        </w:tc>
        <w:tc>
          <w:tcPr>
            <w:tcW w:w="287" w:type="pct"/>
            <w:vAlign w:val="center"/>
          </w:tcPr>
          <w:p w14:paraId="7A0DDFD7">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件</w:t>
            </w:r>
          </w:p>
        </w:tc>
        <w:tc>
          <w:tcPr>
            <w:tcW w:w="2194" w:type="pct"/>
            <w:vAlign w:val="top"/>
          </w:tcPr>
          <w:p w14:paraId="6D4AD6A9">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1.结构框架采用优质碳钢管焊接而成，结构强度高，可靠性强；</w:t>
            </w:r>
          </w:p>
          <w:p w14:paraId="69870AE8">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2.每块板墙外板由上下两块可拆卸板块组成，并支持灵活拆卸，实现多功能组合更换，门板可以实现快速插接安装，安装更便捷；可根据实际训练及场景要求，灵活更换透明板、铁网板、射击观察口板等。</w:t>
            </w:r>
          </w:p>
          <w:p w14:paraId="1BFCDEA3">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.每块门板配2个不锈钢拉手，方便安装搬运；</w:t>
            </w:r>
          </w:p>
          <w:p w14:paraId="6EA6B1D6">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.每块门板连接处采用插接式双向插接卡位，可单独拆卸，任意安装；</w:t>
            </w:r>
          </w:p>
          <w:p w14:paraId="4D2B34E0">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.框架整体焊接后，表面喷涂颜色做防锈处理；</w:t>
            </w:r>
          </w:p>
          <w:p w14:paraId="3E1EFBA6">
            <w:pPr>
              <w:rPr>
                <w:rFonts w:hint="default"/>
                <w:color w:val="auto"/>
                <w:highlight w:val="none"/>
                <w:lang w:val="en-US" w:eastAsia="zh-CN"/>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.尺寸规格：</w:t>
            </w:r>
            <w:r>
              <w:rPr>
                <w:rFonts w:hint="eastAsia" w:ascii="宋体" w:hAnsi="宋体" w:cs="宋体"/>
                <w:color w:val="auto"/>
                <w:sz w:val="18"/>
                <w:szCs w:val="18"/>
                <w:highlight w:val="none"/>
                <w:lang w:val="en-US" w:eastAsia="zh-CN"/>
              </w:rPr>
              <w:t>约</w:t>
            </w:r>
            <w:r>
              <w:rPr>
                <w:rFonts w:hint="eastAsia" w:ascii="宋体" w:hAnsi="宋体" w:eastAsia="宋体" w:cs="宋体"/>
                <w:color w:val="auto"/>
                <w:sz w:val="18"/>
                <w:szCs w:val="18"/>
                <w:highlight w:val="none"/>
                <w:lang w:val="en-US" w:eastAsia="zh-CN"/>
              </w:rPr>
              <w:t>2M*1M</w:t>
            </w:r>
          </w:p>
        </w:tc>
        <w:tc>
          <w:tcPr>
            <w:tcW w:w="662" w:type="pct"/>
            <w:vAlign w:val="center"/>
          </w:tcPr>
          <w:p w14:paraId="10B0A1FF">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541020" cy="1005840"/>
                  <wp:effectExtent l="0" t="0" r="114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lum/>
                          </a:blip>
                          <a:stretch>
                            <a:fillRect/>
                          </a:stretch>
                        </pic:blipFill>
                        <pic:spPr>
                          <a:xfrm>
                            <a:off x="0" y="0"/>
                            <a:ext cx="541020" cy="1005840"/>
                          </a:xfrm>
                          <a:prstGeom prst="rect">
                            <a:avLst/>
                          </a:prstGeom>
                          <a:noFill/>
                          <a:ln>
                            <a:noFill/>
                          </a:ln>
                        </pic:spPr>
                      </pic:pic>
                    </a:graphicData>
                  </a:graphic>
                </wp:inline>
              </w:drawing>
            </w:r>
          </w:p>
        </w:tc>
        <w:tc>
          <w:tcPr>
            <w:tcW w:w="306" w:type="pct"/>
            <w:vAlign w:val="center"/>
          </w:tcPr>
          <w:p w14:paraId="765A1AD4">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83</w:t>
            </w:r>
          </w:p>
        </w:tc>
        <w:tc>
          <w:tcPr>
            <w:tcW w:w="443" w:type="pct"/>
            <w:vAlign w:val="center"/>
          </w:tcPr>
          <w:p w14:paraId="37A6DC01">
            <w:pPr>
              <w:widowControl/>
              <w:jc w:val="center"/>
              <w:textAlignment w:val="center"/>
              <w:rPr>
                <w:rFonts w:hint="default" w:ascii="宋体" w:hAnsi="宋体" w:eastAsia="宋体" w:cs="宋体"/>
                <w:i w:val="0"/>
                <w:iCs w:val="0"/>
                <w:color w:val="auto"/>
                <w:kern w:val="0"/>
                <w:sz w:val="18"/>
                <w:szCs w:val="18"/>
                <w:highlight w:val="none"/>
                <w:u w:val="none"/>
                <w:lang w:val="en-US" w:eastAsia="zh-CN"/>
              </w:rPr>
            </w:pPr>
          </w:p>
        </w:tc>
        <w:tc>
          <w:tcPr>
            <w:tcW w:w="484" w:type="pct"/>
            <w:vAlign w:val="center"/>
          </w:tcPr>
          <w:p w14:paraId="06F9691D">
            <w:pPr>
              <w:widowControl/>
              <w:jc w:val="right"/>
              <w:textAlignment w:val="center"/>
              <w:rPr>
                <w:rFonts w:hint="default" w:ascii="宋体" w:hAnsi="宋体" w:eastAsia="宋体" w:cs="宋体"/>
                <w:i w:val="0"/>
                <w:iCs w:val="0"/>
                <w:color w:val="auto"/>
                <w:kern w:val="0"/>
                <w:sz w:val="18"/>
                <w:szCs w:val="18"/>
                <w:highlight w:val="none"/>
                <w:u w:val="none"/>
                <w:lang w:val="en-US" w:eastAsia="zh-CN"/>
              </w:rPr>
            </w:pPr>
          </w:p>
        </w:tc>
      </w:tr>
      <w:tr w14:paraId="0FBC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38" w:type="pct"/>
            <w:vAlign w:val="center"/>
          </w:tcPr>
          <w:p w14:paraId="09500DD3">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82" w:type="pct"/>
            <w:vAlign w:val="center"/>
          </w:tcPr>
          <w:p w14:paraId="07227DF8">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B单元组件</w:t>
            </w:r>
          </w:p>
        </w:tc>
        <w:tc>
          <w:tcPr>
            <w:tcW w:w="287" w:type="pct"/>
            <w:vAlign w:val="center"/>
          </w:tcPr>
          <w:p w14:paraId="528E5FD5">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件</w:t>
            </w:r>
          </w:p>
        </w:tc>
        <w:tc>
          <w:tcPr>
            <w:tcW w:w="2194" w:type="pct"/>
            <w:vAlign w:val="center"/>
          </w:tcPr>
          <w:p w14:paraId="0B77BD78">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1.结构框架采用优质碳钢管焊接而成，结构强度高，可靠性强；</w:t>
            </w:r>
          </w:p>
          <w:p w14:paraId="10C9D1B7">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2.带窗的板墙由两扇可以开启窗和固定门板组成，窗可以实现内外双向开启，最大开启角度0-180°，方向可调，实现对称互换性，安装便捷，维修更换方便；</w:t>
            </w:r>
          </w:p>
          <w:p w14:paraId="6F5B227C">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3.门板和窗分别采用4mm铝塑板和4mm有机玻璃板组合，更换及安装方便快捷；</w:t>
            </w:r>
          </w:p>
          <w:p w14:paraId="0AB465F8">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.每块门板配2个不锈钢拉手，方便安装搬运；</w:t>
            </w:r>
          </w:p>
          <w:p w14:paraId="53E83426">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.每块门板连接处采用插接式双向插接卡位，可单独拆卸，任意安装；</w:t>
            </w:r>
          </w:p>
          <w:p w14:paraId="336151B9">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.框架整体焊接后，表面喷涂颜色做防锈处理；</w:t>
            </w:r>
          </w:p>
          <w:p w14:paraId="7F0EFAF4">
            <w:pPr>
              <w:rPr>
                <w:rFonts w:hint="default"/>
                <w:color w:val="auto"/>
                <w:highlight w:val="none"/>
                <w:lang w:val="en-US" w:eastAsia="zh-CN"/>
              </w:rPr>
            </w:pP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.尺寸规格：2M*1M</w:t>
            </w:r>
          </w:p>
        </w:tc>
        <w:tc>
          <w:tcPr>
            <w:tcW w:w="662" w:type="pct"/>
            <w:vAlign w:val="center"/>
          </w:tcPr>
          <w:p w14:paraId="45110D70">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671195" cy="1273810"/>
                  <wp:effectExtent l="0" t="0" r="14605" b="254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0">
                            <a:lum/>
                          </a:blip>
                          <a:stretch>
                            <a:fillRect/>
                          </a:stretch>
                        </pic:blipFill>
                        <pic:spPr>
                          <a:xfrm>
                            <a:off x="0" y="0"/>
                            <a:ext cx="671195" cy="1273810"/>
                          </a:xfrm>
                          <a:prstGeom prst="rect">
                            <a:avLst/>
                          </a:prstGeom>
                          <a:noFill/>
                          <a:ln>
                            <a:noFill/>
                          </a:ln>
                        </pic:spPr>
                      </pic:pic>
                    </a:graphicData>
                  </a:graphic>
                </wp:inline>
              </w:drawing>
            </w:r>
          </w:p>
        </w:tc>
        <w:tc>
          <w:tcPr>
            <w:tcW w:w="306" w:type="pct"/>
            <w:vAlign w:val="center"/>
          </w:tcPr>
          <w:p w14:paraId="096EFFFB">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443" w:type="pct"/>
            <w:vAlign w:val="center"/>
          </w:tcPr>
          <w:p w14:paraId="0190541E">
            <w:pPr>
              <w:widowControl/>
              <w:jc w:val="center"/>
              <w:textAlignment w:val="center"/>
              <w:rPr>
                <w:rFonts w:hint="default" w:ascii="宋体" w:hAnsi="宋体" w:eastAsia="宋体" w:cs="宋体"/>
                <w:color w:val="auto"/>
                <w:sz w:val="18"/>
                <w:szCs w:val="18"/>
                <w:highlight w:val="none"/>
                <w:lang w:val="en-US" w:eastAsia="zh-CN"/>
              </w:rPr>
            </w:pPr>
          </w:p>
        </w:tc>
        <w:tc>
          <w:tcPr>
            <w:tcW w:w="484" w:type="pct"/>
            <w:vAlign w:val="center"/>
          </w:tcPr>
          <w:p w14:paraId="16367A14">
            <w:pPr>
              <w:widowControl/>
              <w:jc w:val="right"/>
              <w:textAlignment w:val="center"/>
              <w:rPr>
                <w:rFonts w:hint="default" w:ascii="宋体" w:hAnsi="宋体" w:eastAsia="宋体" w:cs="宋体"/>
                <w:color w:val="auto"/>
                <w:sz w:val="18"/>
                <w:szCs w:val="18"/>
                <w:highlight w:val="none"/>
                <w:lang w:val="en-US" w:eastAsia="zh-CN"/>
              </w:rPr>
            </w:pPr>
          </w:p>
        </w:tc>
      </w:tr>
      <w:tr w14:paraId="5E1F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8" w:type="pct"/>
            <w:vAlign w:val="center"/>
          </w:tcPr>
          <w:p w14:paraId="044DE0A0">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382" w:type="pct"/>
            <w:vAlign w:val="center"/>
          </w:tcPr>
          <w:p w14:paraId="5A2F59B0">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C单元组件</w:t>
            </w:r>
          </w:p>
        </w:tc>
        <w:tc>
          <w:tcPr>
            <w:tcW w:w="287" w:type="pct"/>
            <w:vAlign w:val="center"/>
          </w:tcPr>
          <w:p w14:paraId="66969698">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件</w:t>
            </w:r>
          </w:p>
        </w:tc>
        <w:tc>
          <w:tcPr>
            <w:tcW w:w="2194" w:type="pct"/>
            <w:vAlign w:val="top"/>
          </w:tcPr>
          <w:p w14:paraId="70752B10">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1.结构框架采用优质碳钢管焊接而成，结构强度高，可靠性强；</w:t>
            </w:r>
          </w:p>
          <w:p w14:paraId="2163B25D">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2.带门的板墙可以实现内外双向开启，方向可调，实现对称互换性，安装便捷，维修更换方便；</w:t>
            </w:r>
          </w:p>
          <w:p w14:paraId="4A96E54B">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3.门板和窗采用4mm有机玻璃和4mm铝塑板组合，最大开启角度0-180°，可以实现透明效果和不透明组合更换，安装更换便捷；</w:t>
            </w:r>
          </w:p>
          <w:p w14:paraId="3F065DCA">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.门板配有可调节旋转限位板；</w:t>
            </w:r>
          </w:p>
          <w:p w14:paraId="0671A7D9">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.每块门板连接处采用插接式双向插接卡位，可单独拆卸，任意安装；</w:t>
            </w:r>
          </w:p>
          <w:p w14:paraId="1FF43E46">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.门板底部撞击位置，设有撞击标识，破门而入时撞击可靠位置；</w:t>
            </w:r>
          </w:p>
          <w:p w14:paraId="520C767A">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.框架整体焊接后，表面喷涂颜色做防锈处理；</w:t>
            </w:r>
          </w:p>
          <w:p w14:paraId="7F362728">
            <w:pPr>
              <w:rPr>
                <w:rFonts w:hint="default"/>
                <w:color w:val="auto"/>
                <w:highlight w:val="none"/>
                <w:lang w:val="en-US" w:eastAsia="zh-CN"/>
              </w:rPr>
            </w:pP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.尺寸规格：2M*1M</w:t>
            </w:r>
          </w:p>
        </w:tc>
        <w:tc>
          <w:tcPr>
            <w:tcW w:w="662" w:type="pct"/>
            <w:vAlign w:val="center"/>
          </w:tcPr>
          <w:p w14:paraId="29C8243C">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671195" cy="1196975"/>
                  <wp:effectExtent l="0" t="0" r="14605" b="317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lum/>
                          </a:blip>
                          <a:stretch>
                            <a:fillRect/>
                          </a:stretch>
                        </pic:blipFill>
                        <pic:spPr>
                          <a:xfrm>
                            <a:off x="0" y="0"/>
                            <a:ext cx="671195" cy="1196975"/>
                          </a:xfrm>
                          <a:prstGeom prst="rect">
                            <a:avLst/>
                          </a:prstGeom>
                          <a:noFill/>
                          <a:ln>
                            <a:noFill/>
                          </a:ln>
                        </pic:spPr>
                      </pic:pic>
                    </a:graphicData>
                  </a:graphic>
                </wp:inline>
              </w:drawing>
            </w:r>
          </w:p>
        </w:tc>
        <w:tc>
          <w:tcPr>
            <w:tcW w:w="306" w:type="pct"/>
            <w:vAlign w:val="center"/>
          </w:tcPr>
          <w:p w14:paraId="62BBA7AF">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443" w:type="pct"/>
            <w:vAlign w:val="center"/>
          </w:tcPr>
          <w:p w14:paraId="1C0E3123">
            <w:pPr>
              <w:widowControl/>
              <w:jc w:val="center"/>
              <w:textAlignment w:val="center"/>
              <w:rPr>
                <w:rFonts w:hint="default" w:ascii="宋体" w:hAnsi="宋体" w:eastAsia="宋体" w:cs="宋体"/>
                <w:color w:val="auto"/>
                <w:sz w:val="18"/>
                <w:szCs w:val="18"/>
                <w:highlight w:val="none"/>
                <w:lang w:val="en-US" w:eastAsia="zh-CN"/>
              </w:rPr>
            </w:pPr>
          </w:p>
        </w:tc>
        <w:tc>
          <w:tcPr>
            <w:tcW w:w="484" w:type="pct"/>
            <w:vAlign w:val="center"/>
          </w:tcPr>
          <w:p w14:paraId="096D3520">
            <w:pPr>
              <w:widowControl/>
              <w:jc w:val="right"/>
              <w:textAlignment w:val="center"/>
              <w:rPr>
                <w:rFonts w:hint="default" w:ascii="宋体" w:hAnsi="宋体" w:eastAsia="宋体" w:cs="宋体"/>
                <w:color w:val="auto"/>
                <w:sz w:val="18"/>
                <w:szCs w:val="18"/>
                <w:highlight w:val="none"/>
                <w:lang w:val="en-US" w:eastAsia="zh-CN"/>
              </w:rPr>
            </w:pPr>
          </w:p>
        </w:tc>
      </w:tr>
      <w:tr w14:paraId="535B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38" w:type="pct"/>
            <w:vAlign w:val="center"/>
          </w:tcPr>
          <w:p w14:paraId="70390638">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82" w:type="pct"/>
            <w:vAlign w:val="center"/>
          </w:tcPr>
          <w:p w14:paraId="179115D0">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90°单元组件</w:t>
            </w:r>
          </w:p>
        </w:tc>
        <w:tc>
          <w:tcPr>
            <w:tcW w:w="287" w:type="pct"/>
            <w:vAlign w:val="center"/>
          </w:tcPr>
          <w:p w14:paraId="6B703590">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件</w:t>
            </w:r>
          </w:p>
        </w:tc>
        <w:tc>
          <w:tcPr>
            <w:tcW w:w="2194" w:type="pct"/>
            <w:vAlign w:val="top"/>
          </w:tcPr>
          <w:p w14:paraId="52543607">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1.结构框架采用优质碳钢管焊接而成，结构强度高，可靠性强；</w:t>
            </w:r>
          </w:p>
          <w:p w14:paraId="65A9BA75">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.每个立柱连接处采用挂钩式双向插接卡位，材料优质碳钢板；</w:t>
            </w:r>
          </w:p>
          <w:p w14:paraId="2FF36B1C">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.90°单元组件可以实现拐角两两插接固定衔接，上下方向可以调节，每块立柱可以实现单独拆卸，更换和变换布局更加灵活；</w:t>
            </w:r>
          </w:p>
          <w:p w14:paraId="6420C70C">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.框架整体焊接后，表面喷涂颜色做防锈处理；</w:t>
            </w:r>
          </w:p>
        </w:tc>
        <w:tc>
          <w:tcPr>
            <w:tcW w:w="662" w:type="pct"/>
            <w:vAlign w:val="center"/>
          </w:tcPr>
          <w:p w14:paraId="01B9A8A8">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187960" cy="807720"/>
                  <wp:effectExtent l="0" t="0" r="2540" b="1143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2">
                            <a:lum/>
                          </a:blip>
                          <a:stretch>
                            <a:fillRect/>
                          </a:stretch>
                        </pic:blipFill>
                        <pic:spPr>
                          <a:xfrm flipH="1">
                            <a:off x="0" y="0"/>
                            <a:ext cx="187960" cy="807720"/>
                          </a:xfrm>
                          <a:prstGeom prst="rect">
                            <a:avLst/>
                          </a:prstGeom>
                          <a:noFill/>
                          <a:ln>
                            <a:noFill/>
                          </a:ln>
                        </pic:spPr>
                      </pic:pic>
                    </a:graphicData>
                  </a:graphic>
                </wp:inline>
              </w:drawing>
            </w:r>
          </w:p>
        </w:tc>
        <w:tc>
          <w:tcPr>
            <w:tcW w:w="306" w:type="pct"/>
            <w:vAlign w:val="center"/>
          </w:tcPr>
          <w:p w14:paraId="3E80EB16">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443" w:type="pct"/>
            <w:vAlign w:val="center"/>
          </w:tcPr>
          <w:p w14:paraId="0BD0EFE9">
            <w:pPr>
              <w:widowControl/>
              <w:jc w:val="center"/>
              <w:textAlignment w:val="center"/>
              <w:rPr>
                <w:rFonts w:hint="default" w:ascii="宋体" w:hAnsi="宋体" w:eastAsia="宋体" w:cs="宋体"/>
                <w:color w:val="auto"/>
                <w:sz w:val="18"/>
                <w:szCs w:val="18"/>
                <w:highlight w:val="none"/>
                <w:lang w:val="en-US" w:eastAsia="zh-CN"/>
              </w:rPr>
            </w:pPr>
          </w:p>
        </w:tc>
        <w:tc>
          <w:tcPr>
            <w:tcW w:w="484" w:type="pct"/>
            <w:vAlign w:val="center"/>
          </w:tcPr>
          <w:p w14:paraId="2AA8DAF2">
            <w:pPr>
              <w:widowControl/>
              <w:jc w:val="right"/>
              <w:textAlignment w:val="center"/>
              <w:rPr>
                <w:rFonts w:hint="default" w:ascii="宋体" w:hAnsi="宋体" w:eastAsia="宋体" w:cs="宋体"/>
                <w:color w:val="auto"/>
                <w:sz w:val="18"/>
                <w:szCs w:val="18"/>
                <w:highlight w:val="none"/>
                <w:lang w:val="en-US" w:eastAsia="zh-CN"/>
              </w:rPr>
            </w:pPr>
          </w:p>
        </w:tc>
      </w:tr>
      <w:tr w14:paraId="14DA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 w:type="pct"/>
            <w:vAlign w:val="center"/>
          </w:tcPr>
          <w:p w14:paraId="53C5B1E2">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382" w:type="pct"/>
            <w:vAlign w:val="center"/>
          </w:tcPr>
          <w:p w14:paraId="7049199C">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180°单元组件</w:t>
            </w:r>
          </w:p>
        </w:tc>
        <w:tc>
          <w:tcPr>
            <w:tcW w:w="287" w:type="pct"/>
            <w:vAlign w:val="center"/>
          </w:tcPr>
          <w:p w14:paraId="5938D781">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件</w:t>
            </w:r>
          </w:p>
        </w:tc>
        <w:tc>
          <w:tcPr>
            <w:tcW w:w="2194" w:type="pct"/>
            <w:vAlign w:val="top"/>
          </w:tcPr>
          <w:p w14:paraId="117707E1">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1.结构框架采用优质碳钢管焊接而成，结构强度高，可靠性强；</w:t>
            </w:r>
          </w:p>
          <w:p w14:paraId="0D892F35">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.每个立柱连接处采用挂钩式双向插接卡位，材料优质碳钢板；</w:t>
            </w:r>
          </w:p>
          <w:p w14:paraId="17340212">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.180°单元组件可以实现拐角3扇门板插接固定衔接，每块立柱可以实现单独拆卸，更换和变换布局更加灵活；</w:t>
            </w:r>
          </w:p>
          <w:p w14:paraId="50C8DB92">
            <w:pPr>
              <w:pStyle w:val="17"/>
              <w:widowControl w:val="0"/>
              <w:numPr>
                <w:ilvl w:val="0"/>
                <w:numId w:val="0"/>
              </w:num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.框架整体焊接后，表面喷涂颜色做防锈处理；</w:t>
            </w:r>
          </w:p>
        </w:tc>
        <w:tc>
          <w:tcPr>
            <w:tcW w:w="662" w:type="pct"/>
            <w:vAlign w:val="center"/>
          </w:tcPr>
          <w:p w14:paraId="47113BD4">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264795" cy="764540"/>
                  <wp:effectExtent l="0" t="0" r="1905" b="1651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lum/>
                          </a:blip>
                          <a:stretch>
                            <a:fillRect/>
                          </a:stretch>
                        </pic:blipFill>
                        <pic:spPr>
                          <a:xfrm>
                            <a:off x="0" y="0"/>
                            <a:ext cx="264795" cy="764540"/>
                          </a:xfrm>
                          <a:prstGeom prst="rect">
                            <a:avLst/>
                          </a:prstGeom>
                          <a:noFill/>
                          <a:ln>
                            <a:noFill/>
                          </a:ln>
                        </pic:spPr>
                      </pic:pic>
                    </a:graphicData>
                  </a:graphic>
                </wp:inline>
              </w:drawing>
            </w:r>
          </w:p>
        </w:tc>
        <w:tc>
          <w:tcPr>
            <w:tcW w:w="306" w:type="pct"/>
            <w:vAlign w:val="center"/>
          </w:tcPr>
          <w:p w14:paraId="61AC5B1C">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443" w:type="pct"/>
            <w:vAlign w:val="center"/>
          </w:tcPr>
          <w:p w14:paraId="27E3CFD8">
            <w:pPr>
              <w:widowControl/>
              <w:jc w:val="center"/>
              <w:textAlignment w:val="center"/>
              <w:rPr>
                <w:rFonts w:hint="default" w:ascii="宋体" w:hAnsi="宋体" w:eastAsia="宋体" w:cs="宋体"/>
                <w:color w:val="auto"/>
                <w:sz w:val="18"/>
                <w:szCs w:val="18"/>
                <w:highlight w:val="none"/>
                <w:lang w:val="en-US" w:eastAsia="zh-CN"/>
              </w:rPr>
            </w:pPr>
          </w:p>
        </w:tc>
        <w:tc>
          <w:tcPr>
            <w:tcW w:w="484" w:type="pct"/>
            <w:vAlign w:val="center"/>
          </w:tcPr>
          <w:p w14:paraId="1DBE8647">
            <w:pPr>
              <w:widowControl/>
              <w:jc w:val="right"/>
              <w:textAlignment w:val="center"/>
              <w:rPr>
                <w:rFonts w:hint="default" w:ascii="宋体" w:hAnsi="宋体" w:eastAsia="宋体" w:cs="宋体"/>
                <w:color w:val="auto"/>
                <w:sz w:val="18"/>
                <w:szCs w:val="18"/>
                <w:highlight w:val="none"/>
                <w:lang w:val="en-US" w:eastAsia="zh-CN"/>
              </w:rPr>
            </w:pPr>
          </w:p>
        </w:tc>
      </w:tr>
      <w:tr w14:paraId="5D7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1E2DCD73">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82" w:type="pct"/>
            <w:vAlign w:val="center"/>
          </w:tcPr>
          <w:p w14:paraId="758BC508">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color w:val="auto"/>
                <w:highlight w:val="none"/>
                <w:lang w:val="en-US" w:eastAsia="zh-CN"/>
              </w:rPr>
              <w:t>休息观摩棚</w:t>
            </w:r>
          </w:p>
        </w:tc>
        <w:tc>
          <w:tcPr>
            <w:tcW w:w="287" w:type="pct"/>
            <w:vAlign w:val="center"/>
          </w:tcPr>
          <w:p w14:paraId="48BF7039">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2194" w:type="pct"/>
            <w:vAlign w:val="center"/>
          </w:tcPr>
          <w:p w14:paraId="4CB2D3A7">
            <w:pPr>
              <w:pStyle w:val="17"/>
              <w:widowControl w:val="0"/>
              <w:numPr>
                <w:ilvl w:val="0"/>
                <w:numId w:val="0"/>
              </w:numPr>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18m长、3m宽钢混结构，含基础安装和整体交付</w:t>
            </w:r>
          </w:p>
        </w:tc>
        <w:tc>
          <w:tcPr>
            <w:tcW w:w="662" w:type="pct"/>
            <w:vAlign w:val="center"/>
          </w:tcPr>
          <w:p w14:paraId="37C2F865">
            <w:pPr>
              <w:pStyle w:val="17"/>
              <w:widowControl w:val="0"/>
              <w:numPr>
                <w:ilvl w:val="0"/>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drawing>
                <wp:inline distT="0" distB="0" distL="114300" distR="114300">
                  <wp:extent cx="647700" cy="478155"/>
                  <wp:effectExtent l="0" t="0" r="0" b="1714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4">
                            <a:lum/>
                          </a:blip>
                          <a:stretch>
                            <a:fillRect/>
                          </a:stretch>
                        </pic:blipFill>
                        <pic:spPr>
                          <a:xfrm>
                            <a:off x="0" y="0"/>
                            <a:ext cx="647700" cy="478155"/>
                          </a:xfrm>
                          <a:prstGeom prst="rect">
                            <a:avLst/>
                          </a:prstGeom>
                          <a:noFill/>
                          <a:ln>
                            <a:noFill/>
                          </a:ln>
                        </pic:spPr>
                      </pic:pic>
                    </a:graphicData>
                  </a:graphic>
                </wp:inline>
              </w:drawing>
            </w:r>
          </w:p>
        </w:tc>
        <w:tc>
          <w:tcPr>
            <w:tcW w:w="306" w:type="pct"/>
            <w:vAlign w:val="center"/>
          </w:tcPr>
          <w:p w14:paraId="2E1ECE77">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43" w:type="pct"/>
            <w:vAlign w:val="center"/>
          </w:tcPr>
          <w:p w14:paraId="7CE1CA7E">
            <w:pPr>
              <w:widowControl/>
              <w:ind w:left="0" w:leftChars="0" w:right="0"/>
              <w:jc w:val="center"/>
              <w:textAlignment w:val="center"/>
              <w:rPr>
                <w:rFonts w:hint="default" w:ascii="宋体" w:hAnsi="宋体" w:eastAsia="宋体" w:cs="宋体"/>
                <w:color w:val="auto"/>
                <w:sz w:val="18"/>
                <w:szCs w:val="18"/>
                <w:highlight w:val="none"/>
                <w:lang w:val="en-US" w:eastAsia="zh-CN"/>
              </w:rPr>
            </w:pPr>
          </w:p>
        </w:tc>
        <w:tc>
          <w:tcPr>
            <w:tcW w:w="484" w:type="pct"/>
            <w:vAlign w:val="center"/>
          </w:tcPr>
          <w:p w14:paraId="2D2ECC59">
            <w:pPr>
              <w:widowControl/>
              <w:ind w:left="0" w:leftChars="0" w:right="0"/>
              <w:jc w:val="right"/>
              <w:textAlignment w:val="center"/>
              <w:rPr>
                <w:rFonts w:hint="default" w:ascii="宋体" w:hAnsi="宋体" w:eastAsia="宋体" w:cs="宋体"/>
                <w:color w:val="auto"/>
                <w:sz w:val="18"/>
                <w:szCs w:val="18"/>
                <w:highlight w:val="none"/>
                <w:lang w:val="en-US" w:eastAsia="zh-CN"/>
              </w:rPr>
            </w:pPr>
          </w:p>
        </w:tc>
      </w:tr>
      <w:tr w14:paraId="7D84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3D782FF6">
            <w:pPr>
              <w:pStyle w:val="17"/>
              <w:widowControl w:val="0"/>
              <w:numPr>
                <w:ilvl w:val="0"/>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382" w:type="pct"/>
            <w:vAlign w:val="center"/>
          </w:tcPr>
          <w:p w14:paraId="61296540">
            <w:pPr>
              <w:pStyle w:val="17"/>
              <w:widowControl w:val="0"/>
              <w:numPr>
                <w:ilvl w:val="0"/>
                <w:numId w:val="0"/>
              </w:numPr>
              <w:ind w:left="0" w:leftChars="0" w:firstLine="0" w:firstLineChars="0"/>
              <w:jc w:val="center"/>
              <w:rPr>
                <w:rFonts w:hint="default"/>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01D11CAA">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m2</w:t>
            </w:r>
          </w:p>
        </w:tc>
        <w:tc>
          <w:tcPr>
            <w:tcW w:w="2194" w:type="pct"/>
            <w:vAlign w:val="center"/>
          </w:tcPr>
          <w:p w14:paraId="31698E36">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30mm厚干硬性水泥砂浆粘结层;800*800地砖;白水泥擦缝</w:t>
            </w:r>
          </w:p>
        </w:tc>
        <w:tc>
          <w:tcPr>
            <w:tcW w:w="662" w:type="pct"/>
            <w:vAlign w:val="center"/>
          </w:tcPr>
          <w:p w14:paraId="1E456671">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地砖</w:t>
            </w:r>
          </w:p>
        </w:tc>
        <w:tc>
          <w:tcPr>
            <w:tcW w:w="306" w:type="pct"/>
            <w:vAlign w:val="center"/>
          </w:tcPr>
          <w:p w14:paraId="22598A65">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36.4</w:t>
            </w:r>
          </w:p>
        </w:tc>
        <w:tc>
          <w:tcPr>
            <w:tcW w:w="443" w:type="pct"/>
            <w:vAlign w:val="center"/>
          </w:tcPr>
          <w:p w14:paraId="520F2AFC">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3F02AAC8">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5992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51D93986">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382" w:type="pct"/>
            <w:vAlign w:val="center"/>
          </w:tcPr>
          <w:p w14:paraId="1D3399B5">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4E5D5546">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m2</w:t>
            </w:r>
          </w:p>
        </w:tc>
        <w:tc>
          <w:tcPr>
            <w:tcW w:w="2194" w:type="pct"/>
            <w:vAlign w:val="center"/>
          </w:tcPr>
          <w:p w14:paraId="5D0C6E53">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原墙面乳胶漆铲除</w:t>
            </w:r>
          </w:p>
        </w:tc>
        <w:tc>
          <w:tcPr>
            <w:tcW w:w="662" w:type="pct"/>
            <w:vAlign w:val="center"/>
          </w:tcPr>
          <w:p w14:paraId="261F849F">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铲除涂料</w:t>
            </w:r>
          </w:p>
        </w:tc>
        <w:tc>
          <w:tcPr>
            <w:tcW w:w="306" w:type="pct"/>
            <w:vAlign w:val="center"/>
          </w:tcPr>
          <w:p w14:paraId="1847A9A9">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67.76</w:t>
            </w:r>
          </w:p>
        </w:tc>
        <w:tc>
          <w:tcPr>
            <w:tcW w:w="443" w:type="pct"/>
            <w:vAlign w:val="center"/>
          </w:tcPr>
          <w:p w14:paraId="2AE6E62A">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6112268A">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2965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1C08BCDF">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382" w:type="pct"/>
            <w:vAlign w:val="center"/>
          </w:tcPr>
          <w:p w14:paraId="0ECF9996">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55D70711">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m2</w:t>
            </w:r>
          </w:p>
        </w:tc>
        <w:tc>
          <w:tcPr>
            <w:tcW w:w="2194" w:type="pct"/>
            <w:vAlign w:val="center"/>
          </w:tcPr>
          <w:p w14:paraId="7013AB8A">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墙面:三遍刮腻子找平;乳胶漆三度(封底漆一道);</w:t>
            </w:r>
          </w:p>
        </w:tc>
        <w:tc>
          <w:tcPr>
            <w:tcW w:w="662" w:type="pct"/>
            <w:vAlign w:val="center"/>
          </w:tcPr>
          <w:p w14:paraId="69FE4F92">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墙面乳胶漆</w:t>
            </w:r>
          </w:p>
        </w:tc>
        <w:tc>
          <w:tcPr>
            <w:tcW w:w="306" w:type="pct"/>
            <w:vAlign w:val="center"/>
          </w:tcPr>
          <w:p w14:paraId="3070AD53">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67.76</w:t>
            </w:r>
          </w:p>
        </w:tc>
        <w:tc>
          <w:tcPr>
            <w:tcW w:w="443" w:type="pct"/>
            <w:vAlign w:val="center"/>
          </w:tcPr>
          <w:p w14:paraId="04CE8C5C">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239CA734">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342F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3798B4B2">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382" w:type="pct"/>
            <w:vAlign w:val="center"/>
          </w:tcPr>
          <w:p w14:paraId="28F33397">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480937F6">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m</w:t>
            </w:r>
          </w:p>
        </w:tc>
        <w:tc>
          <w:tcPr>
            <w:tcW w:w="2194" w:type="pct"/>
            <w:vAlign w:val="center"/>
          </w:tcPr>
          <w:p w14:paraId="64DEC5DC">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2-3厚建筑陶瓷粘结剂;100mm瓷砖踢脚线安装(专用胶收口);</w:t>
            </w:r>
          </w:p>
        </w:tc>
        <w:tc>
          <w:tcPr>
            <w:tcW w:w="662" w:type="pct"/>
            <w:vAlign w:val="center"/>
          </w:tcPr>
          <w:p w14:paraId="09B2B0C8">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地砖踢脚线</w:t>
            </w:r>
          </w:p>
        </w:tc>
        <w:tc>
          <w:tcPr>
            <w:tcW w:w="306" w:type="pct"/>
            <w:vAlign w:val="center"/>
          </w:tcPr>
          <w:p w14:paraId="00C54EB5">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24.2</w:t>
            </w:r>
          </w:p>
        </w:tc>
        <w:tc>
          <w:tcPr>
            <w:tcW w:w="443" w:type="pct"/>
            <w:vAlign w:val="center"/>
          </w:tcPr>
          <w:p w14:paraId="40750511">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7056F3BD">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31BF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5A3F164C">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382" w:type="pct"/>
            <w:vAlign w:val="center"/>
          </w:tcPr>
          <w:p w14:paraId="52404925">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7DF6826C">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项</w:t>
            </w:r>
          </w:p>
        </w:tc>
        <w:tc>
          <w:tcPr>
            <w:tcW w:w="2194" w:type="pct"/>
            <w:vAlign w:val="center"/>
          </w:tcPr>
          <w:p w14:paraId="27499242">
            <w:pPr>
              <w:jc w:val="left"/>
              <w:rPr>
                <w:rFonts w:hint="eastAsia" w:ascii="宋体" w:hAnsi="宋体" w:cs="宋体"/>
                <w:color w:val="auto"/>
                <w:sz w:val="18"/>
                <w:szCs w:val="18"/>
                <w:highlight w:val="none"/>
                <w:lang w:val="en-US" w:eastAsia="zh-CN"/>
              </w:rPr>
            </w:pPr>
          </w:p>
        </w:tc>
        <w:tc>
          <w:tcPr>
            <w:tcW w:w="662" w:type="pct"/>
            <w:vAlign w:val="center"/>
          </w:tcPr>
          <w:p w14:paraId="60FD0A01">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改木门</w:t>
            </w:r>
          </w:p>
        </w:tc>
        <w:tc>
          <w:tcPr>
            <w:tcW w:w="306" w:type="pct"/>
            <w:vAlign w:val="center"/>
          </w:tcPr>
          <w:p w14:paraId="27C12283">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1</w:t>
            </w:r>
          </w:p>
        </w:tc>
        <w:tc>
          <w:tcPr>
            <w:tcW w:w="443" w:type="pct"/>
            <w:vAlign w:val="center"/>
          </w:tcPr>
          <w:p w14:paraId="77AA308F">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5281C40F">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66EC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7F55EDD2">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382" w:type="pct"/>
            <w:vAlign w:val="center"/>
          </w:tcPr>
          <w:p w14:paraId="0A04B265">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11F27A74">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项</w:t>
            </w:r>
          </w:p>
        </w:tc>
        <w:tc>
          <w:tcPr>
            <w:tcW w:w="2194" w:type="pct"/>
            <w:vAlign w:val="center"/>
          </w:tcPr>
          <w:p w14:paraId="5C0BB866">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服务台拆除：3.8*0.681.05及拆除垃圾外运</w:t>
            </w:r>
          </w:p>
        </w:tc>
        <w:tc>
          <w:tcPr>
            <w:tcW w:w="662" w:type="pct"/>
            <w:vAlign w:val="center"/>
          </w:tcPr>
          <w:p w14:paraId="3F97D180">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服务台拆除</w:t>
            </w:r>
          </w:p>
        </w:tc>
        <w:tc>
          <w:tcPr>
            <w:tcW w:w="306" w:type="pct"/>
            <w:vAlign w:val="center"/>
          </w:tcPr>
          <w:p w14:paraId="1A08652A">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1</w:t>
            </w:r>
          </w:p>
        </w:tc>
        <w:tc>
          <w:tcPr>
            <w:tcW w:w="443" w:type="pct"/>
            <w:vAlign w:val="center"/>
          </w:tcPr>
          <w:p w14:paraId="0B76A367">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05999D4B">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0B9A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299ED621">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382" w:type="pct"/>
            <w:vAlign w:val="center"/>
          </w:tcPr>
          <w:p w14:paraId="7FF2E548">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732F7958">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项</w:t>
            </w:r>
          </w:p>
        </w:tc>
        <w:tc>
          <w:tcPr>
            <w:tcW w:w="2194" w:type="pct"/>
            <w:vAlign w:val="center"/>
          </w:tcPr>
          <w:p w14:paraId="62CEC637">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管内穿线;BV-3*2.5;铜芯;插座开关面吧，地插；</w:t>
            </w:r>
          </w:p>
        </w:tc>
        <w:tc>
          <w:tcPr>
            <w:tcW w:w="662" w:type="pct"/>
            <w:vAlign w:val="center"/>
          </w:tcPr>
          <w:p w14:paraId="666618E0">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配管及配线</w:t>
            </w:r>
          </w:p>
        </w:tc>
        <w:tc>
          <w:tcPr>
            <w:tcW w:w="306" w:type="pct"/>
            <w:vAlign w:val="center"/>
          </w:tcPr>
          <w:p w14:paraId="661EF1DC">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1</w:t>
            </w:r>
          </w:p>
        </w:tc>
        <w:tc>
          <w:tcPr>
            <w:tcW w:w="443" w:type="pct"/>
            <w:vAlign w:val="center"/>
          </w:tcPr>
          <w:p w14:paraId="4E3DFD7D">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238A72EF">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6ACC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38" w:type="pct"/>
            <w:vAlign w:val="center"/>
          </w:tcPr>
          <w:p w14:paraId="37EAF87F">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382" w:type="pct"/>
            <w:vAlign w:val="center"/>
          </w:tcPr>
          <w:p w14:paraId="27DC0902">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5BA56F6E">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项</w:t>
            </w:r>
          </w:p>
        </w:tc>
        <w:tc>
          <w:tcPr>
            <w:tcW w:w="2194" w:type="pct"/>
            <w:vAlign w:val="center"/>
          </w:tcPr>
          <w:p w14:paraId="635016C9">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室内;污水;地面开槽;硬聚氯乙烯（PVC－U）排水管;DN50;承插连接;配套管件、配套胶水，粘结;闭水、通球、通水;</w:t>
            </w:r>
          </w:p>
        </w:tc>
        <w:tc>
          <w:tcPr>
            <w:tcW w:w="662" w:type="pct"/>
            <w:vAlign w:val="center"/>
          </w:tcPr>
          <w:p w14:paraId="3346350F">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空调水排污管</w:t>
            </w:r>
          </w:p>
        </w:tc>
        <w:tc>
          <w:tcPr>
            <w:tcW w:w="306" w:type="pct"/>
            <w:vAlign w:val="center"/>
          </w:tcPr>
          <w:p w14:paraId="3DA920C6">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1</w:t>
            </w:r>
          </w:p>
        </w:tc>
        <w:tc>
          <w:tcPr>
            <w:tcW w:w="443" w:type="pct"/>
            <w:vAlign w:val="center"/>
          </w:tcPr>
          <w:p w14:paraId="5AADD969">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1D76A1DC">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444B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38" w:type="pct"/>
            <w:vAlign w:val="center"/>
          </w:tcPr>
          <w:p w14:paraId="2C29C3C3">
            <w:pPr>
              <w:pStyle w:val="17"/>
              <w:widowControl w:val="0"/>
              <w:numPr>
                <w:ilvl w:val="0"/>
                <w:numId w:val="0"/>
              </w:numPr>
              <w:ind w:left="0" w:leftChars="0" w:firstLine="0" w:firstLineChars="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382" w:type="pct"/>
            <w:vAlign w:val="center"/>
          </w:tcPr>
          <w:p w14:paraId="09799C09">
            <w:pPr>
              <w:pStyle w:val="17"/>
              <w:widowControl w:val="0"/>
              <w:numPr>
                <w:ilvl w:val="0"/>
                <w:numId w:val="0"/>
              </w:numPr>
              <w:ind w:left="0" w:leftChars="0" w:firstLine="0" w:firstLineChars="0"/>
              <w:jc w:val="center"/>
              <w:rPr>
                <w:rFonts w:hint="eastAsia"/>
                <w:color w:val="auto"/>
                <w:sz w:val="18"/>
                <w:szCs w:val="18"/>
                <w:highlight w:val="none"/>
                <w:lang w:val="en-US" w:eastAsia="zh-CN"/>
              </w:rPr>
            </w:pPr>
            <w:r>
              <w:rPr>
                <w:rFonts w:hint="eastAsia"/>
                <w:color w:val="auto"/>
                <w:sz w:val="18"/>
                <w:szCs w:val="18"/>
                <w:highlight w:val="none"/>
                <w:lang w:val="en-US" w:eastAsia="zh-CN"/>
              </w:rPr>
              <w:t>模拟街区房屋修补和内部改造</w:t>
            </w:r>
          </w:p>
        </w:tc>
        <w:tc>
          <w:tcPr>
            <w:tcW w:w="287" w:type="pct"/>
            <w:vAlign w:val="center"/>
          </w:tcPr>
          <w:p w14:paraId="42467A1A">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套</w:t>
            </w:r>
          </w:p>
        </w:tc>
        <w:tc>
          <w:tcPr>
            <w:tcW w:w="2194" w:type="pct"/>
            <w:vAlign w:val="center"/>
          </w:tcPr>
          <w:p w14:paraId="7F54C8F9">
            <w:pPr>
              <w:widowControl/>
              <w:jc w:val="left"/>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吸顶灯</w:t>
            </w:r>
          </w:p>
        </w:tc>
        <w:tc>
          <w:tcPr>
            <w:tcW w:w="662" w:type="pct"/>
            <w:vAlign w:val="center"/>
          </w:tcPr>
          <w:p w14:paraId="710FB207">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普通灯具</w:t>
            </w:r>
          </w:p>
        </w:tc>
        <w:tc>
          <w:tcPr>
            <w:tcW w:w="306" w:type="pct"/>
            <w:vAlign w:val="center"/>
          </w:tcPr>
          <w:p w14:paraId="03544EF0">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rPr>
              <w:t>4</w:t>
            </w:r>
          </w:p>
        </w:tc>
        <w:tc>
          <w:tcPr>
            <w:tcW w:w="443" w:type="pct"/>
            <w:vAlign w:val="center"/>
          </w:tcPr>
          <w:p w14:paraId="30A1BAE9">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484" w:type="pct"/>
            <w:vAlign w:val="center"/>
          </w:tcPr>
          <w:p w14:paraId="17EBBB1C">
            <w:pPr>
              <w:widowControl/>
              <w:jc w:val="center"/>
              <w:textAlignment w:val="center"/>
              <w:rPr>
                <w:rFonts w:hint="eastAsia" w:ascii="宋体" w:hAnsi="宋体" w:eastAsia="宋体" w:cs="宋体"/>
                <w:i w:val="0"/>
                <w:iCs w:val="0"/>
                <w:color w:val="auto"/>
                <w:kern w:val="0"/>
                <w:sz w:val="18"/>
                <w:szCs w:val="18"/>
                <w:highlight w:val="none"/>
                <w:u w:val="none"/>
                <w:lang w:val="en-US" w:eastAsia="zh-CN"/>
              </w:rPr>
            </w:pPr>
          </w:p>
        </w:tc>
      </w:tr>
      <w:tr w14:paraId="364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515" w:type="pct"/>
            <w:gridSpan w:val="7"/>
            <w:vAlign w:val="center"/>
          </w:tcPr>
          <w:p w14:paraId="092CCA79">
            <w:pPr>
              <w:widowControl/>
              <w:ind w:left="0" w:leftChars="0" w:right="0"/>
              <w:jc w:val="center"/>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合计：</w:t>
            </w:r>
          </w:p>
        </w:tc>
        <w:tc>
          <w:tcPr>
            <w:tcW w:w="484" w:type="pct"/>
            <w:vAlign w:val="center"/>
          </w:tcPr>
          <w:p w14:paraId="7D01BA5E">
            <w:pPr>
              <w:widowControl/>
              <w:ind w:left="0" w:leftChars="0" w:right="0"/>
              <w:jc w:val="right"/>
              <w:textAlignment w:val="center"/>
              <w:rPr>
                <w:rFonts w:hint="default" w:ascii="宋体" w:hAnsi="宋体" w:eastAsia="宋体" w:cs="宋体"/>
                <w:i w:val="0"/>
                <w:iCs w:val="0"/>
                <w:color w:val="auto"/>
                <w:kern w:val="0"/>
                <w:sz w:val="18"/>
                <w:szCs w:val="18"/>
                <w:highlight w:val="none"/>
                <w:u w:val="none"/>
                <w:lang w:val="en-US" w:eastAsia="zh-CN"/>
              </w:rPr>
            </w:pPr>
          </w:p>
        </w:tc>
      </w:tr>
    </w:tbl>
    <w:p w14:paraId="49858BA2">
      <w:pPr>
        <w:widowControl/>
        <w:snapToGrid w:val="0"/>
        <w:spacing w:line="360" w:lineRule="auto"/>
        <w:rPr>
          <w:rFonts w:hint="eastAsia" w:ascii="宋体" w:hAnsi="宋体" w:cs="Arial"/>
          <w:color w:val="auto"/>
          <w:kern w:val="0"/>
          <w:szCs w:val="21"/>
          <w:highlight w:val="none"/>
          <w:lang w:eastAsia="zh-CN"/>
        </w:rPr>
      </w:pPr>
    </w:p>
    <w:p w14:paraId="685B1951">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lang w:eastAsia="zh-CN"/>
        </w:rPr>
        <w:t>供应商</w:t>
      </w:r>
      <w:r>
        <w:rPr>
          <w:rFonts w:hint="eastAsia" w:ascii="宋体" w:hAnsi="宋体" w:cs="Arial"/>
          <w:color w:val="auto"/>
          <w:kern w:val="0"/>
          <w:szCs w:val="21"/>
          <w:highlight w:val="none"/>
        </w:rPr>
        <w:t>名称（公章）：</w:t>
      </w:r>
    </w:p>
    <w:p w14:paraId="3277CCC1">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法定代表人或代理人（签字或盖章）：</w:t>
      </w:r>
    </w:p>
    <w:p w14:paraId="62D84061">
      <w:pPr>
        <w:snapToGrid w:val="0"/>
        <w:spacing w:line="360" w:lineRule="auto"/>
        <w:rPr>
          <w:color w:val="auto"/>
          <w:szCs w:val="21"/>
          <w:highlight w:val="none"/>
        </w:rPr>
      </w:pPr>
      <w:r>
        <w:rPr>
          <w:rFonts w:hint="eastAsia"/>
          <w:color w:val="auto"/>
          <w:szCs w:val="21"/>
          <w:highlight w:val="none"/>
        </w:rPr>
        <w:t>表式参考，可根据项目情况自行调整</w:t>
      </w:r>
    </w:p>
    <w:p w14:paraId="7D236B8B">
      <w:pPr>
        <w:snapToGrid w:val="0"/>
        <w:spacing w:line="360" w:lineRule="auto"/>
        <w:rPr>
          <w:b/>
          <w:bCs/>
          <w:color w:val="auto"/>
          <w:szCs w:val="21"/>
          <w:highlight w:val="none"/>
        </w:rPr>
      </w:pPr>
    </w:p>
    <w:p w14:paraId="5A25CE88">
      <w:pPr>
        <w:rPr>
          <w:rFonts w:ascii="宋体" w:hAnsi="宋体" w:cs="宋体"/>
          <w:b/>
          <w:color w:val="auto"/>
          <w:sz w:val="28"/>
          <w:szCs w:val="28"/>
          <w:highlight w:val="none"/>
        </w:rPr>
      </w:pPr>
    </w:p>
    <w:p w14:paraId="076080A9">
      <w:pPr>
        <w:rPr>
          <w:rFonts w:ascii="宋体" w:hAnsi="宋体" w:cs="宋体"/>
          <w:b/>
          <w:color w:val="auto"/>
          <w:sz w:val="28"/>
          <w:szCs w:val="28"/>
          <w:highlight w:val="none"/>
        </w:rPr>
      </w:pPr>
    </w:p>
    <w:p w14:paraId="785F4DA6">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1A057B0B">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附件：7.质保</w:t>
      </w:r>
      <w:r>
        <w:rPr>
          <w:rFonts w:ascii="宋体" w:hAnsi="宋体" w:cs="宋体"/>
          <w:b/>
          <w:color w:val="auto"/>
          <w:kern w:val="0"/>
          <w:szCs w:val="21"/>
          <w:highlight w:val="none"/>
        </w:rPr>
        <w:t>及售后</w:t>
      </w:r>
      <w:r>
        <w:rPr>
          <w:rFonts w:hint="eastAsia" w:ascii="宋体" w:hAnsi="宋体" w:cs="宋体"/>
          <w:b/>
          <w:color w:val="auto"/>
          <w:kern w:val="0"/>
          <w:szCs w:val="21"/>
          <w:highlight w:val="none"/>
        </w:rPr>
        <w:t>服务承诺书</w:t>
      </w:r>
    </w:p>
    <w:p w14:paraId="327AEE28">
      <w:pPr>
        <w:jc w:val="center"/>
        <w:rPr>
          <w:b/>
          <w:color w:val="auto"/>
          <w:sz w:val="28"/>
          <w:szCs w:val="28"/>
          <w:highlight w:val="none"/>
        </w:rPr>
      </w:pPr>
    </w:p>
    <w:p w14:paraId="458531D7">
      <w:pPr>
        <w:jc w:val="center"/>
        <w:rPr>
          <w:b/>
          <w:color w:val="auto"/>
          <w:sz w:val="28"/>
          <w:szCs w:val="28"/>
          <w:highlight w:val="none"/>
        </w:rPr>
      </w:pPr>
      <w:r>
        <w:rPr>
          <w:rFonts w:hint="eastAsia"/>
          <w:b/>
          <w:color w:val="auto"/>
          <w:sz w:val="28"/>
          <w:szCs w:val="28"/>
          <w:highlight w:val="none"/>
        </w:rPr>
        <w:t>质保</w:t>
      </w:r>
      <w:r>
        <w:rPr>
          <w:b/>
          <w:color w:val="auto"/>
          <w:sz w:val="28"/>
          <w:szCs w:val="28"/>
          <w:highlight w:val="none"/>
        </w:rPr>
        <w:t>及售后</w:t>
      </w:r>
      <w:r>
        <w:rPr>
          <w:rFonts w:hint="eastAsia"/>
          <w:b/>
          <w:color w:val="auto"/>
          <w:sz w:val="28"/>
          <w:szCs w:val="28"/>
          <w:highlight w:val="none"/>
        </w:rPr>
        <w:t>服务承诺书</w:t>
      </w:r>
    </w:p>
    <w:p w14:paraId="2DB8BDDF">
      <w:pPr>
        <w:spacing w:line="360" w:lineRule="auto"/>
        <w:rPr>
          <w:rFonts w:ascii="宋体" w:hAnsi="宋体" w:cs="宋体"/>
          <w:color w:val="auto"/>
          <w:sz w:val="24"/>
          <w:szCs w:val="24"/>
          <w:highlight w:val="none"/>
        </w:rPr>
      </w:pPr>
    </w:p>
    <w:p w14:paraId="30B179E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558CBC28">
      <w:pPr>
        <w:spacing w:line="360" w:lineRule="auto"/>
        <w:rPr>
          <w:rFonts w:ascii="宋体" w:hAnsi="宋体" w:cs="宋体"/>
          <w:color w:val="auto"/>
          <w:sz w:val="24"/>
          <w:szCs w:val="24"/>
          <w:highlight w:val="none"/>
        </w:rPr>
      </w:pPr>
    </w:p>
    <w:p w14:paraId="02AB0BEC">
      <w:pPr>
        <w:spacing w:line="360" w:lineRule="auto"/>
        <w:rPr>
          <w:rFonts w:ascii="宋体" w:hAnsi="宋体" w:cs="宋体"/>
          <w:color w:val="auto"/>
          <w:sz w:val="24"/>
          <w:szCs w:val="24"/>
          <w:highlight w:val="none"/>
        </w:rPr>
      </w:pPr>
    </w:p>
    <w:p w14:paraId="680D5D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质保</w:t>
      </w:r>
      <w:r>
        <w:rPr>
          <w:rFonts w:ascii="宋体" w:hAnsi="宋体" w:cs="宋体"/>
          <w:color w:val="auto"/>
          <w:sz w:val="24"/>
          <w:szCs w:val="24"/>
          <w:highlight w:val="none"/>
        </w:rPr>
        <w:t>承诺如下：</w:t>
      </w:r>
    </w:p>
    <w:p w14:paraId="026E7E4D">
      <w:pPr>
        <w:spacing w:line="360" w:lineRule="auto"/>
        <w:rPr>
          <w:rFonts w:ascii="宋体" w:hAnsi="宋体" w:cs="宋体"/>
          <w:color w:val="auto"/>
          <w:sz w:val="24"/>
          <w:szCs w:val="24"/>
          <w:highlight w:val="none"/>
        </w:rPr>
      </w:pPr>
    </w:p>
    <w:p w14:paraId="0D5C7A09">
      <w:pPr>
        <w:spacing w:line="360" w:lineRule="auto"/>
        <w:rPr>
          <w:rFonts w:ascii="宋体" w:hAnsi="宋体" w:cs="宋体"/>
          <w:color w:val="auto"/>
          <w:sz w:val="24"/>
          <w:szCs w:val="24"/>
          <w:highlight w:val="none"/>
        </w:rPr>
      </w:pPr>
    </w:p>
    <w:p w14:paraId="01593E01">
      <w:pPr>
        <w:spacing w:line="360" w:lineRule="exac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名称（公章）：</w:t>
      </w:r>
    </w:p>
    <w:p w14:paraId="33A1E720">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1A1B1ED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0B9FD28D">
      <w:pPr>
        <w:rPr>
          <w:rFonts w:ascii="宋体" w:hAnsi="宋体" w:cs="宋体"/>
          <w:color w:val="auto"/>
          <w:sz w:val="24"/>
          <w:szCs w:val="24"/>
          <w:highlight w:val="none"/>
        </w:rPr>
      </w:pPr>
    </w:p>
    <w:p w14:paraId="2551CA02">
      <w:pPr>
        <w:rPr>
          <w:rFonts w:ascii="宋体" w:hAnsi="宋体" w:cs="宋体"/>
          <w:color w:val="auto"/>
          <w:sz w:val="24"/>
          <w:szCs w:val="24"/>
          <w:highlight w:val="none"/>
        </w:rPr>
      </w:pPr>
    </w:p>
    <w:p w14:paraId="694D6773">
      <w:pPr>
        <w:rPr>
          <w:rFonts w:ascii="宋体" w:hAnsi="宋体" w:cs="宋体"/>
          <w:color w:val="auto"/>
          <w:sz w:val="24"/>
          <w:szCs w:val="24"/>
          <w:highlight w:val="none"/>
        </w:rPr>
      </w:pPr>
    </w:p>
    <w:p w14:paraId="05F141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附件：8.偏离表</w:t>
      </w:r>
    </w:p>
    <w:p w14:paraId="22DAAA8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A0AECAE">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2CD86E62">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0E3B2B57">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025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BC4A44E">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45C2FBD8">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3267A0DF">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1117BA7D">
            <w:pPr>
              <w:rPr>
                <w:rFonts w:ascii="宋体" w:hAnsi="宋体" w:cs="宋体"/>
                <w:color w:val="auto"/>
                <w:szCs w:val="21"/>
                <w:highlight w:val="none"/>
              </w:rPr>
            </w:pPr>
            <w:r>
              <w:rPr>
                <w:rFonts w:hint="eastAsia" w:ascii="宋体" w:hAnsi="宋体" w:cs="宋体"/>
                <w:color w:val="auto"/>
                <w:szCs w:val="21"/>
                <w:highlight w:val="none"/>
              </w:rPr>
              <w:t>备注</w:t>
            </w:r>
          </w:p>
        </w:tc>
      </w:tr>
      <w:tr w14:paraId="1BC8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251CF1">
            <w:pPr>
              <w:rPr>
                <w:rFonts w:ascii="宋体" w:hAnsi="宋体" w:cs="宋体"/>
                <w:color w:val="auto"/>
                <w:szCs w:val="21"/>
                <w:highlight w:val="none"/>
              </w:rPr>
            </w:pPr>
          </w:p>
        </w:tc>
        <w:tc>
          <w:tcPr>
            <w:tcW w:w="2132" w:type="dxa"/>
          </w:tcPr>
          <w:p w14:paraId="63EBA732">
            <w:pPr>
              <w:rPr>
                <w:rFonts w:ascii="宋体" w:hAnsi="宋体" w:cs="宋体"/>
                <w:color w:val="auto"/>
                <w:szCs w:val="21"/>
                <w:highlight w:val="none"/>
              </w:rPr>
            </w:pPr>
          </w:p>
        </w:tc>
        <w:tc>
          <w:tcPr>
            <w:tcW w:w="3044" w:type="dxa"/>
          </w:tcPr>
          <w:p w14:paraId="6209F2D6">
            <w:pPr>
              <w:rPr>
                <w:rFonts w:ascii="宋体" w:hAnsi="宋体" w:cs="宋体"/>
                <w:color w:val="auto"/>
                <w:szCs w:val="21"/>
                <w:highlight w:val="none"/>
              </w:rPr>
            </w:pPr>
          </w:p>
        </w:tc>
        <w:tc>
          <w:tcPr>
            <w:tcW w:w="1440" w:type="dxa"/>
          </w:tcPr>
          <w:p w14:paraId="1CCE1072">
            <w:pPr>
              <w:rPr>
                <w:rFonts w:ascii="宋体" w:hAnsi="宋体" w:cs="宋体"/>
                <w:color w:val="auto"/>
                <w:szCs w:val="21"/>
                <w:highlight w:val="none"/>
              </w:rPr>
            </w:pPr>
          </w:p>
        </w:tc>
      </w:tr>
      <w:tr w14:paraId="58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37E110">
            <w:pPr>
              <w:rPr>
                <w:rFonts w:ascii="宋体" w:hAnsi="宋体" w:cs="宋体"/>
                <w:color w:val="auto"/>
                <w:szCs w:val="21"/>
                <w:highlight w:val="none"/>
              </w:rPr>
            </w:pPr>
          </w:p>
        </w:tc>
        <w:tc>
          <w:tcPr>
            <w:tcW w:w="2132" w:type="dxa"/>
          </w:tcPr>
          <w:p w14:paraId="103C436C">
            <w:pPr>
              <w:rPr>
                <w:rFonts w:ascii="宋体" w:hAnsi="宋体" w:cs="宋体"/>
                <w:color w:val="auto"/>
                <w:szCs w:val="21"/>
                <w:highlight w:val="none"/>
              </w:rPr>
            </w:pPr>
          </w:p>
        </w:tc>
        <w:tc>
          <w:tcPr>
            <w:tcW w:w="3044" w:type="dxa"/>
          </w:tcPr>
          <w:p w14:paraId="7B4AEAD5">
            <w:pPr>
              <w:rPr>
                <w:rFonts w:ascii="宋体" w:hAnsi="宋体" w:cs="宋体"/>
                <w:color w:val="auto"/>
                <w:szCs w:val="21"/>
                <w:highlight w:val="none"/>
              </w:rPr>
            </w:pPr>
          </w:p>
        </w:tc>
        <w:tc>
          <w:tcPr>
            <w:tcW w:w="1440" w:type="dxa"/>
          </w:tcPr>
          <w:p w14:paraId="05F2EF87">
            <w:pPr>
              <w:rPr>
                <w:rFonts w:ascii="宋体" w:hAnsi="宋体" w:cs="宋体"/>
                <w:color w:val="auto"/>
                <w:szCs w:val="21"/>
                <w:highlight w:val="none"/>
              </w:rPr>
            </w:pPr>
          </w:p>
        </w:tc>
      </w:tr>
      <w:tr w14:paraId="296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04BA95">
            <w:pPr>
              <w:rPr>
                <w:rFonts w:ascii="宋体" w:hAnsi="宋体" w:cs="宋体"/>
                <w:color w:val="auto"/>
                <w:szCs w:val="21"/>
                <w:highlight w:val="none"/>
              </w:rPr>
            </w:pPr>
          </w:p>
        </w:tc>
        <w:tc>
          <w:tcPr>
            <w:tcW w:w="2132" w:type="dxa"/>
          </w:tcPr>
          <w:p w14:paraId="5E98EE3E">
            <w:pPr>
              <w:rPr>
                <w:rFonts w:ascii="宋体" w:hAnsi="宋体" w:cs="宋体"/>
                <w:color w:val="auto"/>
                <w:szCs w:val="21"/>
                <w:highlight w:val="none"/>
              </w:rPr>
            </w:pPr>
          </w:p>
        </w:tc>
        <w:tc>
          <w:tcPr>
            <w:tcW w:w="3044" w:type="dxa"/>
          </w:tcPr>
          <w:p w14:paraId="206C573C">
            <w:pPr>
              <w:rPr>
                <w:rFonts w:ascii="宋体" w:hAnsi="宋体" w:cs="宋体"/>
                <w:color w:val="auto"/>
                <w:szCs w:val="21"/>
                <w:highlight w:val="none"/>
              </w:rPr>
            </w:pPr>
          </w:p>
        </w:tc>
        <w:tc>
          <w:tcPr>
            <w:tcW w:w="1440" w:type="dxa"/>
          </w:tcPr>
          <w:p w14:paraId="7BD62ECD">
            <w:pPr>
              <w:rPr>
                <w:rFonts w:ascii="宋体" w:hAnsi="宋体" w:cs="宋体"/>
                <w:color w:val="auto"/>
                <w:szCs w:val="21"/>
                <w:highlight w:val="none"/>
              </w:rPr>
            </w:pPr>
          </w:p>
        </w:tc>
      </w:tr>
    </w:tbl>
    <w:p w14:paraId="3DB99519">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FAFC5BE">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4BF98986">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7908349E">
      <w:pPr>
        <w:rPr>
          <w:rFonts w:ascii="宋体" w:hAnsi="宋体" w:cs="宋体"/>
          <w:color w:val="auto"/>
          <w:sz w:val="24"/>
          <w:szCs w:val="24"/>
          <w:highlight w:val="none"/>
        </w:rPr>
      </w:pPr>
    </w:p>
    <w:p w14:paraId="13B37869">
      <w:pPr>
        <w:rPr>
          <w:rFonts w:ascii="宋体" w:hAnsi="宋体" w:cs="宋体"/>
          <w:color w:val="auto"/>
          <w:sz w:val="24"/>
          <w:szCs w:val="24"/>
          <w:highlight w:val="none"/>
        </w:rPr>
      </w:pPr>
    </w:p>
    <w:p w14:paraId="5996FE7A">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1878B2E5">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805">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05FC">
    <w:pPr>
      <w:pStyle w:val="15"/>
      <w:framePr w:wrap="around" w:vAnchor="text" w:hAnchor="margin" w:xAlign="outside" w:y="1"/>
      <w:rPr>
        <w:rStyle w:val="60"/>
      </w:rPr>
    </w:pPr>
    <w:r>
      <w:fldChar w:fldCharType="begin"/>
    </w:r>
    <w:r>
      <w:rPr>
        <w:rStyle w:val="60"/>
      </w:rPr>
      <w:instrText xml:space="preserve">PAGE  </w:instrText>
    </w:r>
    <w:r>
      <w:fldChar w:fldCharType="end"/>
    </w:r>
  </w:p>
  <w:p w14:paraId="19EB8639">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3BE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EBA5">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E86A">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D0EC"/>
    <w:multiLevelType w:val="singleLevel"/>
    <w:tmpl w:val="9A7DD0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6D05B2E"/>
    <w:rsid w:val="0878105A"/>
    <w:rsid w:val="09A556D1"/>
    <w:rsid w:val="0B00187B"/>
    <w:rsid w:val="0B5C1EEC"/>
    <w:rsid w:val="0B8D2B18"/>
    <w:rsid w:val="0F1961FF"/>
    <w:rsid w:val="10074400"/>
    <w:rsid w:val="10502A85"/>
    <w:rsid w:val="1160654C"/>
    <w:rsid w:val="11E923CA"/>
    <w:rsid w:val="129760EE"/>
    <w:rsid w:val="164F25E9"/>
    <w:rsid w:val="1A366549"/>
    <w:rsid w:val="1C691F5E"/>
    <w:rsid w:val="1F961BB7"/>
    <w:rsid w:val="23422376"/>
    <w:rsid w:val="255C6D0E"/>
    <w:rsid w:val="26DB434F"/>
    <w:rsid w:val="28CB75D1"/>
    <w:rsid w:val="295C6E2D"/>
    <w:rsid w:val="29D84B76"/>
    <w:rsid w:val="2AE01F34"/>
    <w:rsid w:val="2C8514E3"/>
    <w:rsid w:val="2DEE2DD7"/>
    <w:rsid w:val="307D1FD3"/>
    <w:rsid w:val="33B421B0"/>
    <w:rsid w:val="3578536D"/>
    <w:rsid w:val="35C443F0"/>
    <w:rsid w:val="35F76E1E"/>
    <w:rsid w:val="3A1439A9"/>
    <w:rsid w:val="3B45740C"/>
    <w:rsid w:val="3CB15833"/>
    <w:rsid w:val="3ECF5E37"/>
    <w:rsid w:val="3F087854"/>
    <w:rsid w:val="404F2310"/>
    <w:rsid w:val="40696FCE"/>
    <w:rsid w:val="42DF0A26"/>
    <w:rsid w:val="457A48DC"/>
    <w:rsid w:val="457D34CB"/>
    <w:rsid w:val="46887D07"/>
    <w:rsid w:val="46B207D1"/>
    <w:rsid w:val="4B50040A"/>
    <w:rsid w:val="4BC14C0A"/>
    <w:rsid w:val="4C3C0B94"/>
    <w:rsid w:val="4E061402"/>
    <w:rsid w:val="515403B2"/>
    <w:rsid w:val="517D13CC"/>
    <w:rsid w:val="561E348E"/>
    <w:rsid w:val="564E313D"/>
    <w:rsid w:val="566C6184"/>
    <w:rsid w:val="5B305D11"/>
    <w:rsid w:val="5E8919FE"/>
    <w:rsid w:val="5E996BE5"/>
    <w:rsid w:val="5FB2448F"/>
    <w:rsid w:val="651A43A3"/>
    <w:rsid w:val="67561ABE"/>
    <w:rsid w:val="691A385D"/>
    <w:rsid w:val="69A63917"/>
    <w:rsid w:val="6A405C4B"/>
    <w:rsid w:val="6E943FED"/>
    <w:rsid w:val="6ECD53E2"/>
    <w:rsid w:val="752D11BC"/>
    <w:rsid w:val="756141E1"/>
    <w:rsid w:val="77466F96"/>
    <w:rsid w:val="781F6A99"/>
    <w:rsid w:val="784F47ED"/>
    <w:rsid w:val="7AC64DA8"/>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4"/>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6"/>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39"/>
    <w:qFormat/>
    <w:uiPriority w:val="99"/>
    <w:pPr>
      <w:autoSpaceDE w:val="0"/>
      <w:autoSpaceDN w:val="0"/>
      <w:adjustRightInd w:val="0"/>
      <w:ind w:firstLine="420"/>
    </w:pPr>
    <w:rPr>
      <w:rFonts w:ascii="宋体"/>
      <w:sz w:val="24"/>
    </w:rPr>
  </w:style>
  <w:style w:type="paragraph" w:styleId="6">
    <w:name w:val="Document Map"/>
    <w:basedOn w:val="1"/>
    <w:link w:val="40"/>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3"/>
    <w:qFormat/>
    <w:uiPriority w:val="0"/>
    <w:rPr>
      <w:rFonts w:ascii="宋体" w:hAnsi="宋体" w:eastAsiaTheme="minorEastAsia" w:cstheme="minorBidi"/>
      <w:sz w:val="26"/>
      <w:szCs w:val="22"/>
    </w:rPr>
  </w:style>
  <w:style w:type="paragraph" w:styleId="12">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unhideWhenUsed/>
    <w:qFormat/>
    <w:uiPriority w:val="0"/>
    <w:rPr>
      <w:rFonts w:asciiTheme="minorHAnsi" w:hAnsiTheme="minorHAnsi" w:cstheme="minorBidi"/>
      <w:sz w:val="18"/>
      <w:szCs w:val="18"/>
    </w:rPr>
  </w:style>
  <w:style w:type="paragraph" w:styleId="15">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qFormat/>
    <w:uiPriority w:val="99"/>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9345"/>
      </w:tabs>
    </w:pPr>
    <w:rPr>
      <w:szCs w:val="24"/>
    </w:r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0"/>
    <w:rPr>
      <w:rFonts w:asciiTheme="minorHAnsi" w:hAnsiTheme="minorHAnsi" w:cstheme="minorBidi"/>
      <w:b/>
      <w:bCs/>
      <w:szCs w:val="2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Emphasis"/>
    <w:basedOn w:val="23"/>
    <w:qFormat/>
    <w:uiPriority w:val="0"/>
  </w:style>
  <w:style w:type="character" w:styleId="27">
    <w:name w:val="HTML Definition"/>
    <w:basedOn w:val="23"/>
    <w:qFormat/>
    <w:uiPriority w:val="0"/>
  </w:style>
  <w:style w:type="character" w:styleId="28">
    <w:name w:val="HTML Acronym"/>
    <w:basedOn w:val="23"/>
    <w:qFormat/>
    <w:uiPriority w:val="0"/>
  </w:style>
  <w:style w:type="character" w:styleId="29">
    <w:name w:val="HTML Variable"/>
    <w:basedOn w:val="23"/>
    <w:qFormat/>
    <w:uiPriority w:val="0"/>
  </w:style>
  <w:style w:type="character" w:styleId="30">
    <w:name w:val="Hyperlink"/>
    <w:qFormat/>
    <w:uiPriority w:val="99"/>
    <w:rPr>
      <w:color w:val="0000FF"/>
      <w:u w:val="single"/>
    </w:rPr>
  </w:style>
  <w:style w:type="character" w:styleId="31">
    <w:name w:val="HTML Code"/>
    <w:basedOn w:val="23"/>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basedOn w:val="23"/>
    <w:qFormat/>
    <w:uiPriority w:val="0"/>
  </w:style>
  <w:style w:type="character" w:customStyle="1" w:styleId="34">
    <w:name w:val="标题 1 Char"/>
    <w:basedOn w:val="23"/>
    <w:link w:val="2"/>
    <w:qFormat/>
    <w:uiPriority w:val="0"/>
    <w:rPr>
      <w:rFonts w:ascii="黑体" w:hAnsi="Times New Roman" w:eastAsia="黑体" w:cs="Times New Roman"/>
      <w:sz w:val="52"/>
      <w:szCs w:val="24"/>
    </w:rPr>
  </w:style>
  <w:style w:type="character" w:customStyle="1" w:styleId="35">
    <w:name w:val="标题 2 Char"/>
    <w:basedOn w:val="23"/>
    <w:link w:val="3"/>
    <w:qFormat/>
    <w:uiPriority w:val="0"/>
    <w:rPr>
      <w:rFonts w:ascii="Arial" w:hAnsi="Arial" w:eastAsia="黑体" w:cs="Times New Roman"/>
      <w:b/>
      <w:sz w:val="32"/>
      <w:szCs w:val="20"/>
    </w:rPr>
  </w:style>
  <w:style w:type="character" w:customStyle="1" w:styleId="36">
    <w:name w:val="标题 3 Char"/>
    <w:basedOn w:val="23"/>
    <w:link w:val="4"/>
    <w:qFormat/>
    <w:uiPriority w:val="0"/>
    <w:rPr>
      <w:rFonts w:ascii="Times New Roman" w:hAnsi="Times New Roman" w:eastAsia="宋体" w:cs="Times New Roman"/>
      <w:b/>
      <w:sz w:val="32"/>
      <w:szCs w:val="20"/>
    </w:rPr>
  </w:style>
  <w:style w:type="character" w:customStyle="1" w:styleId="37">
    <w:name w:val="批注文字 Char1"/>
    <w:basedOn w:val="23"/>
    <w:link w:val="7"/>
    <w:semiHidden/>
    <w:qFormat/>
    <w:uiPriority w:val="0"/>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缩进 Char"/>
    <w:link w:val="5"/>
    <w:qFormat/>
    <w:uiPriority w:val="99"/>
    <w:rPr>
      <w:rFonts w:ascii="宋体" w:hAnsi="Times New Roman" w:eastAsia="宋体" w:cs="Times New Roman"/>
      <w:kern w:val="2"/>
      <w:sz w:val="24"/>
    </w:rPr>
  </w:style>
  <w:style w:type="character" w:customStyle="1" w:styleId="40">
    <w:name w:val="文档结构图 Char1"/>
    <w:basedOn w:val="23"/>
    <w:link w:val="6"/>
    <w:semiHidden/>
    <w:qFormat/>
    <w:uiPriority w:val="99"/>
    <w:rPr>
      <w:rFonts w:ascii="宋体" w:hAnsi="Times New Roman" w:eastAsia="宋体" w:cs="Times New Roman"/>
      <w:sz w:val="18"/>
      <w:szCs w:val="18"/>
    </w:rPr>
  </w:style>
  <w:style w:type="character" w:customStyle="1" w:styleId="41">
    <w:name w:val="正文文本 Char"/>
    <w:basedOn w:val="23"/>
    <w:link w:val="8"/>
    <w:qFormat/>
    <w:uiPriority w:val="0"/>
    <w:rPr>
      <w:rFonts w:ascii="Times New Roman" w:hAnsi="Times New Roman" w:eastAsia="宋体" w:cs="Times New Roman"/>
      <w:szCs w:val="24"/>
    </w:rPr>
  </w:style>
  <w:style w:type="character" w:customStyle="1" w:styleId="42">
    <w:name w:val="正文文本缩进 Char"/>
    <w:basedOn w:val="23"/>
    <w:link w:val="9"/>
    <w:qFormat/>
    <w:uiPriority w:val="0"/>
    <w:rPr>
      <w:rFonts w:ascii="宋体" w:hAnsi="Times New Roman" w:eastAsia="宋体" w:cs="Century"/>
      <w:spacing w:val="2"/>
      <w:szCs w:val="24"/>
    </w:rPr>
  </w:style>
  <w:style w:type="character" w:customStyle="1" w:styleId="43">
    <w:name w:val="纯文本 Char1"/>
    <w:basedOn w:val="23"/>
    <w:link w:val="11"/>
    <w:qFormat/>
    <w:uiPriority w:val="99"/>
    <w:rPr>
      <w:rFonts w:ascii="宋体" w:hAnsi="Courier New" w:eastAsia="宋体" w:cs="Courier New"/>
      <w:szCs w:val="21"/>
    </w:rPr>
  </w:style>
  <w:style w:type="character" w:customStyle="1" w:styleId="44">
    <w:name w:val="日期 Char"/>
    <w:basedOn w:val="23"/>
    <w:link w:val="12"/>
    <w:qFormat/>
    <w:uiPriority w:val="0"/>
    <w:rPr>
      <w:rFonts w:ascii="宋体" w:hAnsi="宋体" w:eastAsia="宋体" w:cs="Times New Roman"/>
      <w:sz w:val="24"/>
      <w:szCs w:val="20"/>
    </w:rPr>
  </w:style>
  <w:style w:type="character" w:customStyle="1" w:styleId="45">
    <w:name w:val="正文文本缩进 2 Char"/>
    <w:basedOn w:val="23"/>
    <w:link w:val="13"/>
    <w:qFormat/>
    <w:uiPriority w:val="0"/>
    <w:rPr>
      <w:rFonts w:ascii="Times New Roman" w:hAnsi="Times New Roman" w:eastAsia="宋体" w:cs="Times New Roman"/>
      <w:szCs w:val="24"/>
    </w:rPr>
  </w:style>
  <w:style w:type="character" w:customStyle="1" w:styleId="46">
    <w:name w:val="批注框文本 Char1"/>
    <w:basedOn w:val="23"/>
    <w:link w:val="14"/>
    <w:semiHidden/>
    <w:qFormat/>
    <w:uiPriority w:val="99"/>
    <w:rPr>
      <w:rFonts w:ascii="Times New Roman" w:hAnsi="Times New Roman" w:eastAsia="宋体" w:cs="Times New Roman"/>
      <w:sz w:val="18"/>
      <w:szCs w:val="18"/>
    </w:rPr>
  </w:style>
  <w:style w:type="character" w:customStyle="1" w:styleId="47">
    <w:name w:val="页脚 Char1"/>
    <w:basedOn w:val="23"/>
    <w:link w:val="15"/>
    <w:semiHidden/>
    <w:qFormat/>
    <w:uiPriority w:val="99"/>
    <w:rPr>
      <w:rFonts w:ascii="Times New Roman" w:hAnsi="Times New Roman" w:eastAsia="宋体" w:cs="Times New Roman"/>
      <w:sz w:val="18"/>
      <w:szCs w:val="18"/>
    </w:rPr>
  </w:style>
  <w:style w:type="character" w:customStyle="1" w:styleId="48">
    <w:name w:val="页眉 Char"/>
    <w:basedOn w:val="23"/>
    <w:link w:val="16"/>
    <w:qFormat/>
    <w:uiPriority w:val="99"/>
    <w:rPr>
      <w:rFonts w:ascii="Times New Roman" w:hAnsi="Times New Roman" w:eastAsia="宋体" w:cs="Times New Roman"/>
      <w:sz w:val="18"/>
      <w:szCs w:val="20"/>
    </w:rPr>
  </w:style>
  <w:style w:type="character" w:customStyle="1" w:styleId="49">
    <w:name w:val="批注框文本 Char"/>
    <w:qFormat/>
    <w:uiPriority w:val="0"/>
    <w:rPr>
      <w:rFonts w:eastAsia="宋体"/>
      <w:sz w:val="18"/>
      <w:szCs w:val="18"/>
    </w:rPr>
  </w:style>
  <w:style w:type="character" w:customStyle="1" w:styleId="50">
    <w:name w:val="批注主题 Char"/>
    <w:qFormat/>
    <w:uiPriority w:val="0"/>
    <w:rPr>
      <w:rFonts w:eastAsia="宋体"/>
      <w:b/>
      <w:bCs/>
    </w:rPr>
  </w:style>
  <w:style w:type="character" w:customStyle="1" w:styleId="51">
    <w:name w:val="文档结构图 Char"/>
    <w:qFormat/>
    <w:uiPriority w:val="99"/>
    <w:rPr>
      <w:rFonts w:ascii="宋体" w:eastAsia="宋体"/>
      <w:sz w:val="18"/>
      <w:szCs w:val="18"/>
    </w:rPr>
  </w:style>
  <w:style w:type="character" w:customStyle="1" w:styleId="52">
    <w:name w:val="批注文字 Char"/>
    <w:qFormat/>
    <w:uiPriority w:val="0"/>
    <w:rPr>
      <w:rFonts w:eastAsia="宋体"/>
      <w:kern w:val="2"/>
      <w:sz w:val="21"/>
    </w:rPr>
  </w:style>
  <w:style w:type="character" w:customStyle="1" w:styleId="53">
    <w:name w:val="页脚 Char"/>
    <w:qFormat/>
    <w:uiPriority w:val="0"/>
    <w:rPr>
      <w:rFonts w:eastAsia="宋体"/>
      <w:sz w:val="18"/>
    </w:rPr>
  </w:style>
  <w:style w:type="character" w:customStyle="1" w:styleId="54">
    <w:name w:val="纯文本 Char"/>
    <w:qFormat/>
    <w:uiPriority w:val="0"/>
    <w:rPr>
      <w:rFonts w:ascii="宋体" w:hAnsi="宋体"/>
      <w:sz w:val="26"/>
    </w:rPr>
  </w:style>
  <w:style w:type="paragraph" w:customStyle="1" w:styleId="55">
    <w:name w:val="列出段落1"/>
    <w:basedOn w:val="1"/>
    <w:qFormat/>
    <w:uiPriority w:val="34"/>
    <w:pPr>
      <w:ind w:firstLine="420" w:firstLineChars="200"/>
    </w:pPr>
  </w:style>
  <w:style w:type="paragraph" w:customStyle="1" w:styleId="56">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列出段落11"/>
    <w:basedOn w:val="1"/>
    <w:qFormat/>
    <w:uiPriority w:val="99"/>
    <w:pPr>
      <w:ind w:firstLine="420" w:firstLineChars="200"/>
    </w:pPr>
  </w:style>
  <w:style w:type="paragraph" w:customStyle="1" w:styleId="58">
    <w:name w:val="正文文本缩进1"/>
    <w:basedOn w:val="1"/>
    <w:qFormat/>
    <w:uiPriority w:val="0"/>
    <w:pPr>
      <w:spacing w:line="200" w:lineRule="exact"/>
      <w:ind w:firstLine="301"/>
    </w:pPr>
    <w:rPr>
      <w:rFonts w:ascii="宋体" w:hAnsi="Courier New"/>
      <w:spacing w:val="-4"/>
      <w:sz w:val="18"/>
    </w:rPr>
  </w:style>
  <w:style w:type="paragraph" w:customStyle="1" w:styleId="59">
    <w:name w:val="正文文本缩进2"/>
    <w:basedOn w:val="1"/>
    <w:qFormat/>
    <w:uiPriority w:val="0"/>
    <w:pPr>
      <w:spacing w:line="200" w:lineRule="exact"/>
      <w:ind w:firstLine="301"/>
    </w:pPr>
    <w:rPr>
      <w:rFonts w:ascii="宋体" w:hAnsi="Courier New"/>
      <w:spacing w:val="-4"/>
      <w:kern w:val="0"/>
      <w:sz w:val="18"/>
    </w:rPr>
  </w:style>
  <w:style w:type="character" w:customStyle="1" w:styleId="60">
    <w:name w:val="页码1"/>
    <w:basedOn w:val="23"/>
    <w:qFormat/>
    <w:uiPriority w:val="0"/>
  </w:style>
  <w:style w:type="paragraph" w:customStyle="1" w:styleId="61">
    <w:name w:val="正文文本缩进21"/>
    <w:basedOn w:val="1"/>
    <w:qFormat/>
    <w:uiPriority w:val="0"/>
    <w:pPr>
      <w:spacing w:line="200" w:lineRule="exact"/>
      <w:ind w:firstLine="301"/>
    </w:pPr>
    <w:rPr>
      <w:rFonts w:ascii="宋体" w:hAnsi="Courier New"/>
      <w:spacing w:val="-4"/>
      <w:kern w:val="0"/>
      <w:sz w:val="18"/>
    </w:rPr>
  </w:style>
  <w:style w:type="paragraph" w:customStyle="1" w:styleId="62">
    <w:name w:val="修订1"/>
    <w:hidden/>
    <w:semiHidden/>
    <w:qFormat/>
    <w:uiPriority w:val="99"/>
    <w:rPr>
      <w:rFonts w:ascii="Times New Roman" w:hAnsi="Times New Roman" w:eastAsia="宋体" w:cs="Times New Roman"/>
      <w:kern w:val="2"/>
      <w:sz w:val="21"/>
      <w:lang w:val="en-US" w:eastAsia="zh-CN" w:bidi="ar-SA"/>
    </w:rPr>
  </w:style>
  <w:style w:type="paragraph" w:customStyle="1" w:styleId="63">
    <w:name w:val="Í¼±íÕýÎÄ"/>
    <w:basedOn w:val="1"/>
    <w:next w:val="5"/>
    <w:qFormat/>
    <w:uiPriority w:val="0"/>
    <w:pPr>
      <w:ind w:firstLine="420" w:firstLineChars="200"/>
    </w:pPr>
    <w:rPr>
      <w:sz w:val="24"/>
    </w:rPr>
  </w:style>
  <w:style w:type="paragraph" w:styleId="64">
    <w:name w:val="List Paragraph"/>
    <w:basedOn w:val="1"/>
    <w:qFormat/>
    <w:uiPriority w:val="34"/>
    <w:pPr>
      <w:ind w:firstLine="420" w:firstLineChars="200"/>
    </w:pPr>
    <w:rPr>
      <w:rFonts w:ascii="Calibri" w:hAnsi="Calibri"/>
      <w:szCs w:val="22"/>
    </w:rPr>
  </w:style>
  <w:style w:type="character" w:customStyle="1" w:styleId="65">
    <w:name w:val="font01"/>
    <w:qFormat/>
    <w:uiPriority w:val="0"/>
    <w:rPr>
      <w:rFonts w:hint="eastAsia" w:ascii="宋体" w:hAnsi="宋体" w:eastAsia="宋体" w:cs="宋体"/>
      <w:color w:val="000000"/>
      <w:sz w:val="24"/>
      <w:szCs w:val="24"/>
      <w:u w:val="none"/>
    </w:rPr>
  </w:style>
  <w:style w:type="paragraph" w:customStyle="1" w:styleId="66">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7">
    <w:name w:val="样式 纯文本 + (符号) 宋体 Char"/>
    <w:link w:val="68"/>
    <w:qFormat/>
    <w:uiPriority w:val="0"/>
    <w:rPr>
      <w:rFonts w:eastAsia="宋体" w:cs="Times New Roman"/>
      <w:sz w:val="21"/>
      <w:szCs w:val="20"/>
    </w:rPr>
  </w:style>
  <w:style w:type="paragraph" w:customStyle="1" w:styleId="68">
    <w:name w:val="样式 纯文本 + (符号) 宋体"/>
    <w:basedOn w:val="11"/>
    <w:link w:val="67"/>
    <w:qFormat/>
    <w:uiPriority w:val="0"/>
    <w:pPr>
      <w:jc w:val="center"/>
    </w:pPr>
    <w:rPr>
      <w:rFonts w:eastAsia="宋体" w:cs="Times New Roman"/>
      <w:sz w:val="21"/>
      <w:szCs w:val="20"/>
    </w:rPr>
  </w:style>
  <w:style w:type="character" w:customStyle="1" w:styleId="69">
    <w:name w:val="font31"/>
    <w:basedOn w:val="23"/>
    <w:qFormat/>
    <w:uiPriority w:val="0"/>
    <w:rPr>
      <w:rFonts w:hint="eastAsia" w:ascii="宋体" w:hAnsi="宋体" w:eastAsia="宋体" w:cs="宋体"/>
      <w:color w:val="000000"/>
      <w:sz w:val="20"/>
      <w:szCs w:val="20"/>
      <w:u w:val="none"/>
    </w:rPr>
  </w:style>
  <w:style w:type="character" w:customStyle="1" w:styleId="70">
    <w:name w:val="font81"/>
    <w:basedOn w:val="23"/>
    <w:qFormat/>
    <w:uiPriority w:val="0"/>
    <w:rPr>
      <w:rFonts w:hint="eastAsia" w:ascii="宋体" w:hAnsi="宋体" w:eastAsia="宋体" w:cs="宋体"/>
      <w:b/>
      <w:color w:val="000000"/>
      <w:sz w:val="22"/>
      <w:szCs w:val="22"/>
      <w:u w:val="none"/>
    </w:rPr>
  </w:style>
  <w:style w:type="character" w:customStyle="1" w:styleId="71">
    <w:name w:val="apple-converted-space"/>
    <w:basedOn w:val="23"/>
    <w:qFormat/>
    <w:uiPriority w:val="0"/>
  </w:style>
  <w:style w:type="character" w:customStyle="1" w:styleId="72">
    <w:name w:val="font21"/>
    <w:basedOn w:val="23"/>
    <w:qFormat/>
    <w:uiPriority w:val="0"/>
    <w:rPr>
      <w:rFonts w:hint="eastAsia" w:ascii="宋体" w:hAnsi="宋体" w:eastAsia="宋体" w:cs="宋体"/>
      <w:color w:val="000000"/>
      <w:sz w:val="20"/>
      <w:szCs w:val="20"/>
      <w:u w:val="none"/>
    </w:rPr>
  </w:style>
  <w:style w:type="character" w:customStyle="1" w:styleId="73">
    <w:name w:val="font71"/>
    <w:basedOn w:val="23"/>
    <w:qFormat/>
    <w:uiPriority w:val="0"/>
    <w:rPr>
      <w:rFonts w:hint="eastAsia" w:ascii="宋体" w:hAnsi="宋体" w:eastAsia="宋体" w:cs="宋体"/>
      <w:color w:val="000000"/>
      <w:sz w:val="20"/>
      <w:szCs w:val="20"/>
      <w:u w:val="none"/>
    </w:rPr>
  </w:style>
  <w:style w:type="character" w:customStyle="1" w:styleId="74">
    <w:name w:val="font61"/>
    <w:basedOn w:val="23"/>
    <w:qFormat/>
    <w:uiPriority w:val="0"/>
    <w:rPr>
      <w:rFonts w:hint="eastAsia" w:ascii="宋体" w:hAnsi="宋体" w:eastAsia="宋体" w:cs="宋体"/>
      <w:b/>
      <w:color w:val="000000"/>
      <w:sz w:val="24"/>
      <w:szCs w:val="24"/>
      <w:u w:val="none"/>
    </w:rPr>
  </w:style>
  <w:style w:type="character" w:customStyle="1" w:styleId="75">
    <w:name w:val="font51"/>
    <w:basedOn w:val="23"/>
    <w:qFormat/>
    <w:uiPriority w:val="0"/>
    <w:rPr>
      <w:rFonts w:hint="eastAsia" w:ascii="宋体" w:hAnsi="宋体" w:eastAsia="宋体" w:cs="宋体"/>
      <w:color w:val="FF0000"/>
      <w:sz w:val="20"/>
      <w:szCs w:val="20"/>
      <w:u w:val="none"/>
    </w:rPr>
  </w:style>
  <w:style w:type="character" w:customStyle="1" w:styleId="76">
    <w:name w:val="font41"/>
    <w:basedOn w:val="23"/>
    <w:qFormat/>
    <w:uiPriority w:val="0"/>
    <w:rPr>
      <w:rFonts w:hint="default" w:ascii="Arial" w:hAnsi="Arial" w:cs="Arial"/>
      <w:color w:val="FF0000"/>
      <w:sz w:val="20"/>
      <w:szCs w:val="20"/>
      <w:u w:val="none"/>
    </w:rPr>
  </w:style>
  <w:style w:type="character" w:customStyle="1" w:styleId="77">
    <w:name w:val="font11"/>
    <w:basedOn w:val="23"/>
    <w:qFormat/>
    <w:uiPriority w:val="0"/>
    <w:rPr>
      <w:rFonts w:hint="default" w:ascii="Arial" w:hAnsi="Arial" w:cs="Arial"/>
      <w:color w:val="FF0000"/>
      <w:sz w:val="20"/>
      <w:szCs w:val="20"/>
      <w:u w:val="none"/>
    </w:rPr>
  </w:style>
  <w:style w:type="character" w:customStyle="1" w:styleId="78">
    <w:name w:val="Char Char3"/>
    <w:qFormat/>
    <w:locked/>
    <w:uiPriority w:val="0"/>
    <w:rPr>
      <w:rFonts w:ascii="宋体" w:hAnsi="Courier New" w:eastAsia="宋体"/>
      <w:kern w:val="2"/>
      <w:sz w:val="21"/>
      <w:lang w:val="en-US" w:eastAsia="zh-CN" w:bidi="ar-SA"/>
    </w:rPr>
  </w:style>
  <w:style w:type="paragraph" w:customStyle="1" w:styleId="79">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列出段落3"/>
    <w:basedOn w:val="1"/>
    <w:qFormat/>
    <w:uiPriority w:val="0"/>
    <w:pPr>
      <w:ind w:firstLine="420" w:firstLineChars="200"/>
    </w:pPr>
    <w:rPr>
      <w:rFonts w:ascii="Calibri" w:hAnsi="Calibri"/>
      <w:szCs w:val="22"/>
    </w:rPr>
  </w:style>
  <w:style w:type="paragraph" w:customStyle="1" w:styleId="82">
    <w:name w:val="Revision"/>
    <w:hidden/>
    <w:semiHidden/>
    <w:qFormat/>
    <w:uiPriority w:val="99"/>
    <w:rPr>
      <w:rFonts w:ascii="Times New Roman" w:hAnsi="Times New Roman" w:eastAsia="宋体" w:cs="Times New Roman"/>
      <w:kern w:val="2"/>
      <w:sz w:val="21"/>
      <w:lang w:val="en-US" w:eastAsia="zh-CN" w:bidi="ar-SA"/>
    </w:rPr>
  </w:style>
  <w:style w:type="paragraph" w:customStyle="1" w:styleId="83">
    <w:name w:val="纯文本3"/>
    <w:basedOn w:val="1"/>
    <w:link w:val="84"/>
    <w:qFormat/>
    <w:uiPriority w:val="0"/>
    <w:pPr>
      <w:adjustRightInd w:val="0"/>
    </w:pPr>
    <w:rPr>
      <w:rFonts w:ascii="宋体" w:hAnsi="Courier New" w:eastAsia="楷体_GB2312"/>
      <w:sz w:val="26"/>
    </w:rPr>
  </w:style>
  <w:style w:type="character" w:customStyle="1" w:styleId="84">
    <w:name w:val="Plain Text Char"/>
    <w:link w:val="83"/>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6A135-FF45-4140-B33E-C293BD9FE1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4896</Words>
  <Characters>5476</Characters>
  <Lines>86</Lines>
  <Paragraphs>24</Paragraphs>
  <TotalTime>11</TotalTime>
  <ScaleCrop>false</ScaleCrop>
  <LinksUpToDate>false</LinksUpToDate>
  <CharactersWithSpaces>5571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2025-07-30T08:41:53Z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51646745F1A84497AD1F57341BA65DA5_13</vt:lpwstr>
  </property>
</Properties>
</file>